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000000"/>
          <w:sz w:val="44"/>
          <w:szCs w:val="44"/>
          <w:lang w:val="en-US" w:eastAsia="zh-CN"/>
        </w:rPr>
      </w:pPr>
      <w:bookmarkStart w:id="3" w:name="_GoBack"/>
      <w:bookmarkEnd w:id="3"/>
      <w:r>
        <w:rPr>
          <w:rFonts w:hint="eastAsia" w:ascii="黑体" w:eastAsia="黑体"/>
          <w:sz w:val="32"/>
          <w:szCs w:val="32"/>
          <w:highlight w:val="none"/>
        </w:rPr>
        <w:t>附件</w:t>
      </w:r>
    </w:p>
    <w:p>
      <w:pPr>
        <w:keepNext w:val="0"/>
        <w:keepLines w:val="0"/>
        <w:pageBreakBefore w:val="0"/>
        <w:kinsoku/>
        <w:wordWrap/>
        <w:overflowPunct/>
        <w:topLinePunct w:val="0"/>
        <w:autoSpaceDE/>
        <w:autoSpaceDN/>
        <w:bidi w:val="0"/>
        <w:adjustRightInd w:val="0"/>
        <w:snapToGrid/>
        <w:spacing w:line="520" w:lineRule="exact"/>
        <w:ind w:firstLine="880" w:firstLineChars="200"/>
        <w:jc w:val="center"/>
        <w:outlineLvl w:val="9"/>
        <w:rPr>
          <w:rFonts w:hint="eastAsia" w:ascii="方正小标宋简体" w:hAnsi="方正小标宋简体" w:eastAsia="方正小标宋简体" w:cs="方正小标宋简体"/>
          <w:b w:val="0"/>
          <w:bCs w:val="0"/>
          <w:color w:val="000000"/>
          <w:sz w:val="44"/>
          <w:szCs w:val="44"/>
          <w:lang w:val="en-US" w:eastAsia="zh-CN"/>
        </w:rPr>
      </w:pPr>
    </w:p>
    <w:p>
      <w:pPr>
        <w:keepNext w:val="0"/>
        <w:keepLines w:val="0"/>
        <w:pageBreakBefore w:val="0"/>
        <w:kinsoku/>
        <w:wordWrap/>
        <w:overflowPunct/>
        <w:topLinePunct w:val="0"/>
        <w:autoSpaceDE/>
        <w:autoSpaceDN/>
        <w:bidi w:val="0"/>
        <w:adjustRightInd w:val="0"/>
        <w:snapToGrid/>
        <w:spacing w:line="520" w:lineRule="exact"/>
        <w:ind w:firstLine="880" w:firstLineChars="200"/>
        <w:jc w:val="center"/>
        <w:outlineLvl w:val="9"/>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深圳市2025年度知识产权十大事件</w:t>
      </w:r>
    </w:p>
    <w:p>
      <w:pPr>
        <w:pStyle w:val="2"/>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一、深港穗创新集群首次跃居全球第一</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深圳出台知识产权赋能产业高质量发展若干举措，持续完善以企业为主体、市场为导向的知识产权高质量创造机制，新建50家高价值专利培育布局中心，开展32个重点产业专利导航项目，培育20家市级知识产权领军企业。第二十五届中国专利奖深圳获奖81项、其中金奖9项，创历史新高，PCT国际专利申请量连续22年居全国首位，国内专利授权量连续8年居全国首位，商标注册量连续3年居全国首位，每万人口高价值发明专利拥有量119.7件，达到全国的7.48倍。在2025年全球创新指数（GII）世界百强创新集群排名中，“深圳-香港-广州”创新集群首次超越“东京-横滨”，实现从连续五年全球第二到首次全球第一的历史性跨越</w:t>
      </w:r>
      <w:r>
        <w:rPr>
          <w:rFonts w:hint="eastAsia" w:ascii="仿宋_GB2312" w:hAnsi="仿宋_GB2312" w:eastAsia="仿宋_GB2312" w:cs="仿宋_GB2312"/>
          <w:color w:val="000000"/>
          <w:w w:val="95"/>
          <w:kern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二、深圳知识产权强市和保护高地建设10项经验获全国推广</w:t>
      </w:r>
    </w:p>
    <w:p>
      <w:pPr>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jc w:val="both"/>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深圳聚力国家知识产权强市建设示范城市及保护高地建设，深化知识产权领域综合改革，强化知识产权高质量创造、高标准保护、高效益运用、高能级服务和高水平开放，10项创新经验获全国推广。构建海外维权立体格局等2项经验做法入选第四批知识产权强国建设典型案例，数字经济保护规则等5项经验做法入选重点城市保护改革优秀案例，存量专利盘活等3项经验做法入选国家知识产权局专利转化运用优秀案例。这些经验做法覆盖创造、运用、保护、管理、服务全链条，为全国知识产权工作提供可复制经验。</w:t>
      </w:r>
    </w:p>
    <w:p>
      <w:pPr>
        <w:keepNext w:val="0"/>
        <w:keepLines w:val="0"/>
        <w:pageBreakBefore w:val="0"/>
        <w:widowControl/>
        <w:suppressLineNumbers w:val="0"/>
        <w:kinsoku/>
        <w:wordWrap/>
        <w:overflowPunct/>
        <w:topLinePunct w:val="0"/>
        <w:autoSpaceDE/>
        <w:autoSpaceDN/>
        <w:bidi w:val="0"/>
        <w:snapToGrid/>
        <w:spacing w:line="52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三、深圳出台数字经济司法保护新规则</w:t>
      </w:r>
    </w:p>
    <w:p>
      <w:pPr>
        <w:keepNext w:val="0"/>
        <w:keepLines w:val="0"/>
        <w:pageBreakBefore w:val="0"/>
        <w:widowControl/>
        <w:suppressLineNumbers w:val="0"/>
        <w:kinsoku/>
        <w:wordWrap/>
        <w:overflowPunct/>
        <w:topLinePunct w:val="0"/>
        <w:autoSpaceDE/>
        <w:autoSpaceDN/>
        <w:bidi w:val="0"/>
        <w:snapToGrid/>
        <w:spacing w:line="520" w:lineRule="exact"/>
        <w:ind w:firstLine="640" w:firstLineChars="200"/>
        <w:jc w:val="left"/>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深圳市中级人民法院立足审判职能，紧扣“调查研究-案例示范-规则供给-机制革新”的体系化工作机制，出台《关于加强数字权益司法保护发挥数据要素作用服务保障数字经济高质量发展的意见》，并在法答网上发布配套系列问答，从强化数据要素高质量供给、加强数据产权保护、推进数据有序流通、加强数据违法治理、深化审判执行机制创新等方面，对数据、人工智能、算法等数字经济新型纠纷予以全面指导，推动数字经济知识产权保护的司法裁判规则完善与审判机制创新深度融合，服务实数经济深度融合和数智技术创新，为全国数字经济高质量发展提供了可复制的“深圳方案”。</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四、深圳首批入选国家知识产权领域优化营商环境试点和知识产权金融生态综合试点</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default"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color w:val="000000"/>
          <w:kern w:val="0"/>
          <w:sz w:val="32"/>
          <w:szCs w:val="32"/>
          <w:lang w:val="en-US" w:eastAsia="zh-CN" w:bidi="ar-SA"/>
        </w:rPr>
        <w:t>深圳先后入选国家知识产权领域优化营商环境试点和国家知识产权金融生态综合试点，双轮驱动知识产权工作高质量发展。出台实施优化知识产权领域营商环境18项具体举措和“一城一策”改革创新项目，全国首创海关知识产权保护“公益调解前置”新模式，AI赋能时尚原创设计版权数据加密保护平台入选全国首批“人工智能+”知识产权公共服务应用场景，为广东省唯一上榜项目。创新推出知识产权质押融资“鹏知贷”系列产品，成立全国首个海外知识产权保险联共体，首创“知识产权跨境担保+境外资金跨境认购”双跨境模式，落地全省首批数据知识产权服务信托，全年专利和商标质押登记金额超590亿元，累计发行121单、总规模257亿元知识产权证券化产品，规模持续领跑全国。</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jc w:val="left"/>
        <w:rPr>
          <w:rFonts w:hint="eastAsia" w:ascii="仿宋_GB2312" w:hAnsi="宋体" w:eastAsia="仿宋_GB2312" w:cs="仿宋_GB2312"/>
          <w:color w:val="000000"/>
          <w:kern w:val="2"/>
          <w:sz w:val="32"/>
          <w:szCs w:val="32"/>
          <w:lang w:val="en-US" w:eastAsia="zh-CN" w:bidi="ar-SA"/>
        </w:rPr>
      </w:pPr>
      <w:r>
        <w:rPr>
          <w:rFonts w:hint="eastAsia" w:ascii="黑体" w:hAnsi="黑体" w:eastAsia="黑体" w:cs="黑体"/>
          <w:kern w:val="2"/>
          <w:sz w:val="32"/>
          <w:szCs w:val="32"/>
          <w:lang w:val="en-US" w:eastAsia="zh-CN" w:bidi="ar-SA"/>
        </w:rPr>
        <w:t>深圳市公安局侦破某品牌手机跨省商标侵权大案</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color w:val="000000"/>
          <w:kern w:val="0"/>
          <w:sz w:val="32"/>
          <w:szCs w:val="32"/>
          <w:lang w:val="en" w:eastAsia="zh-CN" w:bidi="ar-SA"/>
        </w:rPr>
        <w:t>2025年4月，市公安局通过对已结案件深挖扩线，成功破获一起某知名品牌手机被假冒注册商标案。该团伙在广东、广西、湖南多地设立生产窝点，形成完整的制假产业链。市公安局通过多警种联动，跨省同步开展打击，成功摧毁两个组织严密的全链条制假售假犯罪团伙，查获大量假冒产品及配件，涉案金额较大，有效切断了假冒产品流通渠道。此案的成功侦办，有力震慑了侵犯知识产权违法犯罪活动，为保护企业合法权益、优化营商环境提供了坚实保障，目前该案已进入审判阶段</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六、深圳获批建设首家国家级知识产权快速维权中心</w:t>
      </w:r>
    </w:p>
    <w:p>
      <w:pPr>
        <w:keepNext w:val="0"/>
        <w:keepLines w:val="0"/>
        <w:pageBreakBefore w:val="0"/>
        <w:kinsoku/>
        <w:wordWrap/>
        <w:overflowPunct/>
        <w:topLinePunct w:val="0"/>
        <w:autoSpaceDE/>
        <w:autoSpaceDN/>
        <w:bidi w:val="0"/>
        <w:adjustRightInd w:val="0"/>
        <w:snapToGrid/>
        <w:spacing w:line="520" w:lineRule="exact"/>
        <w:ind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深圳福田（时尚设计）知识产权快速维权中心（以下简称“快维中心”）获国家知识产权局批准建设并顺利通过验收。快维中心聚焦时尚设计产业，构建“快速预审、快速确权、快速维权”三大核心服务和“1+3+N”工作体系，搭建“快速预审+协同保护+综合服务+行业保护”四位一体综合保护机制，为创新主体提供专利预审、知识产权纠纷多元化解、维权保护和海外知识产权保护指导等服务。快维中心投入运行后，将外观设计专利授权周期从4至8个月压缩至最快7个工作日，效能提升80%以上，有效破解时尚设计产业维权难、维权慢、维权贵等痛点，提升深圳知识产权“快保护”能力，为深港科技创新合作区时尚设计产业高质量发展提供有力支撑。</w:t>
      </w:r>
    </w:p>
    <w:p>
      <w:pPr>
        <w:keepNext w:val="0"/>
        <w:keepLines w:val="0"/>
        <w:pageBreakBefore w:val="0"/>
        <w:widowControl w:val="0"/>
        <w:kinsoku/>
        <w:wordWrap/>
        <w:overflowPunct/>
        <w:topLinePunct w:val="0"/>
        <w:autoSpaceDE/>
        <w:autoSpaceDN/>
        <w:bidi w:val="0"/>
        <w:adjustRightInd w:val="0"/>
        <w:snapToGrid/>
        <w:spacing w:line="520" w:lineRule="exact"/>
        <w:ind w:firstLine="608" w:firstLineChars="200"/>
        <w:jc w:val="both"/>
        <w:outlineLvl w:val="9"/>
        <w:rPr>
          <w:rFonts w:hint="eastAsia" w:ascii="黑体" w:hAnsi="黑体" w:eastAsia="黑体" w:cs="黑体"/>
          <w:w w:val="95"/>
          <w:kern w:val="2"/>
          <w:sz w:val="32"/>
          <w:szCs w:val="32"/>
          <w:lang w:val="en-US" w:eastAsia="zh-CN" w:bidi="ar-SA"/>
        </w:rPr>
      </w:pPr>
      <w:r>
        <w:rPr>
          <w:rFonts w:hint="eastAsia" w:ascii="黑体" w:hAnsi="黑体" w:eastAsia="黑体" w:cs="黑体"/>
          <w:w w:val="95"/>
          <w:kern w:val="2"/>
          <w:sz w:val="32"/>
          <w:szCs w:val="32"/>
          <w:lang w:val="en-US" w:eastAsia="zh-CN" w:bidi="ar-SA"/>
        </w:rPr>
        <w:t>七、深圳成功办理首宗标准必要专利行政裁决案</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2025年3月，某公司就其与某技术公司的标准必要专利侵权纠纷，向深圳市市场监督管理局（知识产权局）提出专利侵权纠纷处理请求。深圳市市场监督管理局（知识产权局）迅速开展调查取证及侵权判断，在认定侵权行为成立的基础上，先后组织开展20多轮双方会谈、60多轮细节磋商，最终推动双方从对抗走向合作，于2025年12月组织双方签订《专利侵权纠纷调解协议》并达成专利交叉许可，案件历经9个月得到圆满解决。该案坚持行政保护与协同共赢结合，通过高效行政裁决与柔性调解衔接，以裁促和、定纷止争，推动企业实现合作共赢，填补了深圳标准必要专利行政案件办理空白，探索形成了可推广借鉴的标准必要专利行政保护模式</w:t>
      </w:r>
      <w:r>
        <w:rPr>
          <w:rFonts w:hint="default" w:ascii="仿宋_GB2312" w:hAnsi="仿宋_GB2312" w:eastAsia="仿宋_GB2312" w:cs="仿宋_GB2312"/>
          <w:color w:val="000000"/>
          <w:kern w:val="0"/>
          <w:sz w:val="32"/>
          <w:szCs w:val="32"/>
          <w:lang w:val="en-US" w:eastAsia="zh-CN" w:bidi="ar-SA"/>
        </w:rPr>
        <w:t>。</w:t>
      </w:r>
      <w:bookmarkStart w:id="0" w:name="_Toc27447"/>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w:t>
      </w:r>
      <w:bookmarkEnd w:id="0"/>
      <w:r>
        <w:rPr>
          <w:rFonts w:hint="eastAsia" w:ascii="黑体" w:hAnsi="黑体" w:eastAsia="黑体" w:cs="黑体"/>
          <w:kern w:val="2"/>
          <w:sz w:val="32"/>
          <w:szCs w:val="32"/>
          <w:lang w:val="en-US" w:eastAsia="zh-CN" w:bidi="ar-SA"/>
        </w:rPr>
        <w:t>、深圳率先开通面向香港创新主体的专利预审服务</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default"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color w:val="000000"/>
          <w:kern w:val="0"/>
          <w:sz w:val="32"/>
          <w:szCs w:val="32"/>
          <w:lang w:val="en-US" w:eastAsia="zh-CN" w:bidi="ar-SA"/>
        </w:rPr>
        <w:t>经国家知识产权局批复，深圳知识产权保护中心正式开通面向香港创新主体的专利预审服务。香港企业、高校及科研院所可以直接享受深圳保护中心在新能源、互联网、高端装备制造和珠宝加工四大产业领域的快速预审服务，发明专利的授权周期被压缩至3个月左右，加快香港科技成果专利布局，进一步助推香港创新资源融入国家发展大局。截至目前，香港创新主体的170余件专利通过“预审+优审”通道实现了快速布局，有力推动香港科研成果在内地的快速转化与产业化应用</w:t>
      </w:r>
      <w:r>
        <w:rPr>
          <w:rFonts w:hint="default"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九、北京大学国际知识产权学院在深正式成立</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default" w:ascii="仿宋_GB2312" w:hAnsi="仿宋_GB2312" w:eastAsia="仿宋_GB2312" w:cs="仿宋_GB2312"/>
          <w:b w:val="0"/>
          <w:bCs w:val="0"/>
          <w:color w:val="000000"/>
          <w:kern w:val="0"/>
          <w:sz w:val="32"/>
          <w:szCs w:val="32"/>
          <w:lang w:eastAsia="zh-CN"/>
        </w:rPr>
      </w:pPr>
      <w:r>
        <w:rPr>
          <w:rFonts w:hint="default" w:ascii="仿宋_GB2312" w:hAnsi="仿宋_GB2312" w:eastAsia="仿宋_GB2312" w:cs="仿宋_GB2312"/>
          <w:color w:val="000000"/>
          <w:kern w:val="0"/>
          <w:sz w:val="32"/>
          <w:szCs w:val="32"/>
          <w:lang w:val="en-US" w:eastAsia="zh-CN" w:bidi="ar-SA"/>
        </w:rPr>
        <w:t>国家知识产权局和北京大学共建的国际知识产权学院落地深圳。该学院主要依托北京大学深圳研究生院建设，充分发挥北京大学法学基础优势和国际法学院的特色优势、深圳独特区位优势，通过南北协同实现资源联动，打造集教育、科研、智库和国际合作于一体的、具有国际影响力的知识产权人才培养高端平台。国际知识产权学院落地深圳，是服务国家知识产权强国战略、支撑大湾区建设的关键布局。学院着力建设知识产权领域高精尖人才培养高地、前沿理论和政策研究重镇、高水平国际交流合作平台，推动知识产权规则与本地科技产业深度融合，助力深圳打造具有国际影响力的知识产权人才高地。</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eastAsia" w:ascii="黑体" w:hAnsi="黑体" w:eastAsia="黑体" w:cs="黑体"/>
          <w:kern w:val="2"/>
          <w:sz w:val="32"/>
          <w:szCs w:val="32"/>
          <w:lang w:val="en-US" w:eastAsia="zh-CN" w:bidi="ar-SA"/>
        </w:rPr>
      </w:pPr>
      <w:bookmarkStart w:id="1" w:name="_Toc30613"/>
      <w:r>
        <w:rPr>
          <w:rFonts w:hint="eastAsia" w:ascii="黑体" w:hAnsi="黑体" w:eastAsia="黑体" w:cs="黑体"/>
          <w:kern w:val="2"/>
          <w:sz w:val="32"/>
          <w:szCs w:val="32"/>
          <w:lang w:val="en-US" w:eastAsia="zh-CN" w:bidi="ar-SA"/>
        </w:rPr>
        <w:t>十</w:t>
      </w:r>
      <w:bookmarkEnd w:id="1"/>
      <w:r>
        <w:rPr>
          <w:rFonts w:hint="eastAsia" w:ascii="黑体" w:hAnsi="黑体" w:eastAsia="黑体" w:cs="黑体"/>
          <w:kern w:val="2"/>
          <w:sz w:val="32"/>
          <w:szCs w:val="32"/>
          <w:lang w:val="en-US" w:eastAsia="zh-CN" w:bidi="ar-SA"/>
        </w:rPr>
        <w:t>、</w:t>
      </w:r>
      <w:bookmarkStart w:id="2" w:name="_Toc16091"/>
      <w:r>
        <w:rPr>
          <w:rFonts w:hint="eastAsia" w:ascii="黑体" w:hAnsi="黑体" w:eastAsia="黑体" w:cs="黑体"/>
          <w:kern w:val="2"/>
          <w:sz w:val="32"/>
          <w:szCs w:val="32"/>
          <w:lang w:val="en-US" w:eastAsia="zh-CN" w:bidi="ar-SA"/>
        </w:rPr>
        <w:t>腾讯音乐娱乐集团与中国音乐著作权协会达成音乐著作权战略合作</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outlineLvl w:val="9"/>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中宣部版权管理局和中国版权协会的指导下，腾讯音乐娱乐集团（简称“腾讯音乐”）与中国音乐著作权协会（简称“音著协”）达成音乐著作权战略合作。通过整合音著协在版权管理与维权服务方面的专业优势和腾讯音乐的技术能力和平台治理实践经验，双方共同完善音乐作品词曲授权机制、推动词曲内容合规使用，为创作者提供更透明、高效的版权服务，切实保障词曲创作者及作品的合法权益与收益回报，助力音乐行业版权生态健康发展。这既是对“版权强国”战略的积极响应，也是对数字音乐产业规范发展的深入实践</w:t>
      </w:r>
      <w:r>
        <w:rPr>
          <w:rFonts w:hint="default" w:ascii="仿宋_GB2312" w:hAnsi="仿宋_GB2312" w:eastAsia="仿宋_GB2312" w:cs="仿宋_GB2312"/>
          <w:color w:val="000000"/>
          <w:kern w:val="0"/>
          <w:sz w:val="32"/>
          <w:szCs w:val="32"/>
          <w:lang w:val="en-US" w:eastAsia="zh-CN" w:bidi="ar-SA"/>
        </w:rPr>
        <w:t>。</w:t>
      </w:r>
      <w:bookmarkEnd w:id="2"/>
    </w:p>
    <w:p/>
    <w:sectPr>
      <w:footerReference r:id="rId3" w:type="default"/>
      <w:pgSz w:w="11906" w:h="16838"/>
      <w:pgMar w:top="1701" w:right="1499" w:bottom="147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370AA"/>
    <w:multiLevelType w:val="singleLevel"/>
    <w:tmpl w:val="4B2370AA"/>
    <w:lvl w:ilvl="0" w:tentative="0">
      <w:start w:val="5"/>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EFBABA1"/>
    <w:rsid w:val="022C6E7A"/>
    <w:rsid w:val="027A7D9B"/>
    <w:rsid w:val="2DB249A1"/>
    <w:rsid w:val="3BBDC204"/>
    <w:rsid w:val="53FFCC2A"/>
    <w:rsid w:val="6EFBA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2858</Words>
  <Characters>2910</Characters>
  <Lines>0</Lines>
  <Paragraphs>0</Paragraphs>
  <TotalTime>3</TotalTime>
  <ScaleCrop>false</ScaleCrop>
  <LinksUpToDate>false</LinksUpToDate>
  <CharactersWithSpaces>2910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2026-04-14T02:55:00Z</dcterms:created>
  <dc:creator>gaonan</dc:creator>
  <cp:lastModifiedBy>liuyt1</cp:lastModifiedBy>
  <dcterms:modified xsi:type="dcterms:W3CDTF">2026-04-22T15:02:04Z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BDFEA7FD6CBF61926C72E869C4B00DB3</vt:lpwstr>
  </property>
</Properties>
</file>