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方正小标宋简体" w:hAnsi="方正小标宋简体" w:eastAsia="方正小标宋简体" w:cs="方正小标宋简体"/>
          <w:color w:val="auto"/>
          <w:spacing w:val="-12"/>
          <w:sz w:val="44"/>
          <w:szCs w:val="44"/>
        </w:rPr>
      </w:pPr>
      <w:r>
        <w:rPr>
          <w:rFonts w:hint="eastAsia" w:ascii="华文中宋" w:hAnsi="华文中宋" w:eastAsia="华文中宋" w:cs="华文中宋"/>
          <w:color w:val="auto"/>
          <w:spacing w:val="-12"/>
          <w:sz w:val="44"/>
          <w:szCs w:val="44"/>
        </w:rPr>
        <w:t>部分不合格项目小知识</w:t>
      </w:r>
    </w:p>
    <w:p>
      <w:pPr>
        <w:pStyle w:val="11"/>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pPr>
        <w:pStyle w:val="3"/>
        <w:bidi w:val="0"/>
      </w:pPr>
      <w:r>
        <w:rPr>
          <w:rFonts w:hint="eastAsia"/>
        </w:rPr>
        <w:t>一、不合格项目小知识</w:t>
      </w:r>
    </w:p>
    <w:p>
      <w:pPr>
        <w:pStyle w:val="4"/>
        <w:bidi w:val="0"/>
        <w:rPr>
          <w:rFonts w:hint="eastAsia"/>
          <w:lang w:eastAsia="zh-CN"/>
        </w:rPr>
      </w:pPr>
      <w:r>
        <w:rPr>
          <w:rFonts w:hint="eastAsia"/>
          <w:lang w:eastAsia="zh-CN"/>
        </w:rPr>
        <w:t>（</w:t>
      </w:r>
      <w:r>
        <w:rPr>
          <w:rFonts w:hint="eastAsia"/>
          <w:lang w:val="en-US" w:eastAsia="zh-CN"/>
        </w:rPr>
        <w:t>一</w:t>
      </w:r>
      <w:r>
        <w:rPr>
          <w:rFonts w:hint="eastAsia"/>
          <w:lang w:eastAsia="zh-CN"/>
        </w:rPr>
        <w:t>）</w:t>
      </w:r>
      <w:bookmarkStart w:id="0" w:name="_GoBack"/>
      <w:r>
        <w:rPr>
          <w:rFonts w:hint="eastAsia"/>
          <w:lang w:val="en-US" w:eastAsia="zh-CN"/>
        </w:rPr>
        <w:t>玉米赤霉烯酮</w:t>
      </w:r>
      <w:bookmarkEnd w:id="0"/>
    </w:p>
    <w:p>
      <w:pPr>
        <w:bidi w:val="0"/>
        <w:rPr>
          <w:rFonts w:hint="eastAsia"/>
          <w:lang w:eastAsia="zh-CN"/>
        </w:rPr>
      </w:pPr>
      <w:r>
        <w:rPr>
          <w:rFonts w:hint="eastAsia"/>
          <w:lang w:eastAsia="zh-CN"/>
        </w:rPr>
        <w:t>玉米赤霉烯酮是玉米赤霉菌的代谢产物。玉米赤霉烯酮主要污染玉米、小麦、大米、大麦、小米和燕麦等谷物。玉米赤霉烯酮具有雌激素样作用，能造成动物急慢性中毒，引起动物繁殖机能异常甚至死亡。人体摄入过量玉米赤霉烯酮会对健康造成一定的危害。《食品安全国家标准 食品中真菌毒素限量》（GB 2761-2017）中规定玉米、玉米面（渣、片）中赤霉烯酮的含量不得大于60μg/kg。造成玉米赤霉烯酮含量超标的原因有：一是原料带入，如玉米等高等植物本身含有，在开花时玉米赤霉烯酮达到峰值；二是储存运输不当：如存储环境不适宜，食品易被霉菌感染。</w:t>
      </w:r>
    </w:p>
    <w:p>
      <w:pPr>
        <w:pStyle w:val="4"/>
        <w:bidi w:val="0"/>
        <w:rPr>
          <w:rFonts w:hint="eastAsia"/>
          <w:lang w:val="zh-CN" w:eastAsia="zh-CN"/>
        </w:rPr>
      </w:pPr>
      <w:r>
        <w:rPr>
          <w:rFonts w:hint="eastAsia"/>
          <w:lang w:val="zh-CN" w:eastAsia="zh-CN"/>
        </w:rPr>
        <w:t>（二）二氧化硫残留量</w:t>
      </w:r>
    </w:p>
    <w:p>
      <w:pPr>
        <w:bidi w:val="0"/>
        <w:rPr>
          <w:rFonts w:hint="eastAsia"/>
          <w:lang w:eastAsia="zh-CN"/>
        </w:rPr>
      </w:pPr>
      <w:r>
        <w:rPr>
          <w:rFonts w:hint="eastAsia"/>
          <w:lang w:val="en-US" w:eastAsia="zh-CN"/>
        </w:rPr>
        <w:t>二氧化硫、焦亚硫酸钾、亚硫酸钠是食品加工中常用的漂白剂和防腐剂，使用后产生二氧化硫残留。《食品安全国家标准 食品添加剂使用标准》（GB 2760—2014）中规定，干制蔬菜二氧化硫残留量不得超过0.2 g/kg。蔬菜干制品二氧化硫残留量超标可能是蔬菜干制品在加工过程中为了起到漂白和防腐的作用，超范围或超限量使用亚硫酸盐等漂白剂，从而导致产品中二氧化硫残留量不符合要求。少量的二氧化硫进入身体可能危害不大，但如果长期食用二氧化硫残留量超标的食品，可能会对人体健康造成一定的不良影响。二氧化硫进入人体后最终转化为硫酸盐并随尿液排出体外，若过量食用可能引起如恶心、呕吐等胃肠道反应。</w:t>
      </w:r>
    </w:p>
    <w:p>
      <w:pPr>
        <w:pStyle w:val="4"/>
        <w:bidi w:val="0"/>
        <w:rPr>
          <w:rFonts w:hint="eastAsia" w:ascii="楷体" w:hAnsi="楷体" w:eastAsia="楷体" w:cstheme="majorBidi"/>
          <w:b/>
          <w:bCs/>
          <w:kern w:val="2"/>
          <w:sz w:val="32"/>
          <w:szCs w:val="32"/>
          <w:lang w:val="zh-CN" w:eastAsia="zh-CN" w:bidi="ar-SA"/>
        </w:rPr>
      </w:pPr>
      <w:r>
        <w:rPr>
          <w:rFonts w:hint="eastAsia" w:ascii="楷体" w:hAnsi="楷体" w:eastAsia="楷体" w:cstheme="majorBidi"/>
          <w:b/>
          <w:bCs/>
          <w:kern w:val="2"/>
          <w:sz w:val="32"/>
          <w:szCs w:val="32"/>
          <w:lang w:val="en-US" w:eastAsia="zh-CN" w:bidi="ar-SA"/>
        </w:rPr>
        <w:t>（三）</w:t>
      </w:r>
      <w:r>
        <w:rPr>
          <w:rFonts w:hint="eastAsia" w:ascii="楷体" w:hAnsi="楷体" w:eastAsia="楷体" w:cstheme="majorBidi"/>
          <w:b/>
          <w:bCs/>
          <w:kern w:val="2"/>
          <w:sz w:val="32"/>
          <w:szCs w:val="32"/>
          <w:lang w:val="zh-CN" w:eastAsia="zh-CN" w:bidi="ar-SA"/>
        </w:rPr>
        <w:t>铅(以Pb计)</w:t>
      </w:r>
    </w:p>
    <w:p>
      <w:pPr>
        <w:bidi w:val="0"/>
        <w:rPr>
          <w:rFonts w:hint="eastAsia"/>
          <w:lang w:val="en-US" w:eastAsia="zh-CN"/>
        </w:rPr>
      </w:pPr>
      <w:r>
        <w:rPr>
          <w:rFonts w:hint="eastAsia"/>
          <w:lang w:val="en-US" w:eastAsia="zh-CN"/>
        </w:rPr>
        <w:t>铅是一种对人体有害的金属元素，可通过消化道及呼吸道进入体内，是一种慢性和积累性毒物，进入人体后，少部分会随着身体代谢排出体外，大部分会在体内沉积，危害人体健康，能影响人体神经系统的许多功能，特别是对婴幼儿的智力发育，儿童的学习记忆功能。《食品安全国家标准 食品中污染物限量》（GB 2762—2017）中规定，藻类及其制品（螺旋藻及其制品除外）中铅的最大限量值为1.0mg/kg（干重计），蔬菜制品中铅的最大限量值为1.0mg/kg。食品中铅超标的原因可能是，企业在生产时未对原料进行严格验收或为降低产品成本而采用劣质原料，由生产原料或辅料带入到产品中；也可能是食品生产加工过程中的加工设备、容器、包装材料中的铅迁移带入。</w:t>
      </w:r>
    </w:p>
    <w:p>
      <w:pPr>
        <w:pStyle w:val="4"/>
        <w:bidi w:val="0"/>
        <w:rPr>
          <w:rFonts w:hint="eastAsia"/>
          <w:lang w:val="zh-CN" w:eastAsia="zh-CN"/>
        </w:rPr>
      </w:pPr>
      <w:r>
        <w:rPr>
          <w:rFonts w:hint="eastAsia"/>
          <w:lang w:val="zh-CN" w:eastAsia="zh-CN"/>
        </w:rPr>
        <w:t>（四）胭脂红</w:t>
      </w:r>
    </w:p>
    <w:p>
      <w:pPr>
        <w:bidi w:val="0"/>
        <w:rPr>
          <w:rFonts w:hint="eastAsia"/>
          <w:lang w:val="en-US" w:eastAsia="zh-CN"/>
        </w:rPr>
      </w:pPr>
      <w:r>
        <w:rPr>
          <w:rFonts w:hint="eastAsia"/>
          <w:lang w:val="en-US" w:eastAsia="zh-CN"/>
        </w:rPr>
        <w:t>胭脂红是常见合成着色剂，在现代食品业中应用广泛。《食品安全国家标准 食品添加剂使用标准》（GB 2760—2014）中规定，蜜饯凉果中胭脂红、苋菜红的最大使用量为0.05 g/kg 。蜜饯类、凉果类、果脯类、话化类、果糕类的苋菜红项目不合格原因可能是生产厂家未按国家标准规定，在生产加工过程中超范围、超限量使用。合成着色剂没有营养价值，长期过量食用可能对人体健康产生一定影响。</w:t>
      </w:r>
    </w:p>
    <w:p>
      <w:pPr>
        <w:pStyle w:val="4"/>
        <w:bidi w:val="0"/>
        <w:rPr>
          <w:rFonts w:hint="eastAsia"/>
          <w:lang w:val="zh-CN" w:eastAsia="zh-CN"/>
        </w:rPr>
      </w:pPr>
      <w:r>
        <w:rPr>
          <w:rFonts w:hint="eastAsia"/>
          <w:lang w:val="zh-CN" w:eastAsia="zh-CN"/>
        </w:rPr>
        <w:t>（五）谷氨酸钠</w:t>
      </w:r>
    </w:p>
    <w:p>
      <w:pPr>
        <w:bidi w:val="0"/>
        <w:rPr>
          <w:rFonts w:hint="eastAsia"/>
          <w:lang w:val="en-US" w:eastAsia="zh-CN"/>
        </w:rPr>
      </w:pPr>
      <w:r>
        <w:rPr>
          <w:rFonts w:hint="eastAsia"/>
          <w:lang w:val="en-US" w:eastAsia="zh-CN"/>
        </w:rPr>
        <w:t>谷氨酸钠是调味料味精的主要成分，主要作用是对食物进行提鲜。适当摄入谷氨酸钠对人体的血液循环和神经系统有益。《谷氨酸钠(味精)》（GB/T 8967-2007）中规定，谷氨酸钠（味精）的理化指标谷氨酸钠的指标为不少于99.0%。《食品安全国家标准 味精》（GB 2720-2015）中规定，谷氨酸钠（味精）的理化指标谷氨酸钠的指标为不少于99.0%。造成谷氨酸钠不达标的原因有：原料质量不合格；生产工艺控制不严格不符合生产要求。</w:t>
      </w:r>
    </w:p>
    <w:p>
      <w:pPr>
        <w:pStyle w:val="4"/>
        <w:bidi w:val="0"/>
        <w:rPr>
          <w:rFonts w:hint="eastAsia"/>
          <w:lang w:val="zh-CN" w:eastAsia="zh-CN"/>
        </w:rPr>
      </w:pPr>
      <w:r>
        <w:rPr>
          <w:rFonts w:hint="eastAsia"/>
          <w:lang w:val="zh-CN" w:eastAsia="zh-CN"/>
        </w:rPr>
        <w:t>（六）蛋白质</w:t>
      </w:r>
    </w:p>
    <w:p>
      <w:pPr>
        <w:bidi w:val="0"/>
        <w:rPr>
          <w:rFonts w:hint="eastAsia"/>
          <w:lang w:val="en-US" w:eastAsia="zh-CN"/>
        </w:rPr>
      </w:pPr>
      <w:r>
        <w:rPr>
          <w:rFonts w:hint="eastAsia"/>
          <w:lang w:val="en-US" w:eastAsia="zh-CN"/>
        </w:rPr>
        <w:t>人体的生长、发育、遗传等一切生命活动都离不开蛋白质。《食品安全国家标准 婴幼儿谷类辅助食品》（GB 10769—2010）中规定婴幼儿谷物辅助食品中蛋白质指标不低于0.33g/100kJ，且《食品安全国家标准 预包装特殊膳食用食品标签》（GB 13432—2013）中规定，蛋白质含量不得低于标签明示值的80%。蛋白质不达标原因可能是原辅料质量控制不严；生产加工过程中搅拌不均匀；企业未按标签明示值或企业标准的要求进行添加等。</w:t>
      </w:r>
    </w:p>
    <w:p>
      <w:pPr>
        <w:pStyle w:val="4"/>
        <w:bidi w:val="0"/>
        <w:rPr>
          <w:rFonts w:hint="eastAsia"/>
          <w:lang w:val="zh-CN" w:eastAsia="zh-CN"/>
        </w:rPr>
      </w:pPr>
      <w:r>
        <w:rPr>
          <w:rFonts w:hint="eastAsia"/>
          <w:lang w:val="zh-CN" w:eastAsia="zh-CN"/>
        </w:rPr>
        <w:t>（七）氯霉素</w:t>
      </w:r>
    </w:p>
    <w:p>
      <w:pPr>
        <w:bidi w:val="0"/>
        <w:rPr>
          <w:rFonts w:hint="eastAsia"/>
          <w:lang w:val="en-US" w:eastAsia="zh-CN"/>
        </w:rPr>
      </w:pPr>
      <w:r>
        <w:rPr>
          <w:rFonts w:hint="eastAsia"/>
          <w:lang w:val="en-US" w:eastAsia="zh-CN"/>
        </w:rPr>
        <w:t>氯霉素是一种杀菌剂，也是高效广谱的抗生素，对革兰氏阳性菌和革兰氏阴性菌均有较好的抑制作用。《食品中可能违法添加的非食用物质和易滥用的食品添加剂品种名单(第五批)》（整顿办函[2011]1号）中规定，氯霉素为禁止使用的药物，在食品中不得检出。检出氯霉素的主要原因有：原料带入；生产者在生产过程中违规添加氯霉素。长期食用氯霉素残留超标的食品可能引起肠道菌群失调，导致消化机能紊乱；人体过量摄入氯霉素可引起人肝脏和骨髓造血机能的损害，导致再生障碍性贫血和血小板减少、肝损伤等健康危害。</w:t>
      </w:r>
    </w:p>
    <w:p>
      <w:pPr>
        <w:pStyle w:val="4"/>
        <w:bidi w:val="0"/>
        <w:rPr>
          <w:rFonts w:hint="eastAsia"/>
          <w:lang w:val="zh-CN" w:eastAsia="zh-CN"/>
        </w:rPr>
      </w:pPr>
      <w:r>
        <w:rPr>
          <w:rFonts w:hint="eastAsia"/>
          <w:lang w:val="zh-CN" w:eastAsia="zh-CN"/>
        </w:rPr>
        <w:t>（八）镉(以Cd计)</w:t>
      </w:r>
    </w:p>
    <w:p>
      <w:pPr>
        <w:bidi w:val="0"/>
        <w:rPr>
          <w:rFonts w:hint="eastAsia"/>
          <w:lang w:val="en-US" w:eastAsia="zh-CN"/>
        </w:rPr>
      </w:pPr>
      <w:r>
        <w:rPr>
          <w:rFonts w:hint="eastAsia"/>
          <w:lang w:val="en-US" w:eastAsia="zh-CN"/>
        </w:rPr>
        <w:t>镉是水产制品中最常见的污染重金属元素之一，联合国环境规划署(DNFP)和国际职业卫生重金属委员会将镉列入重点研究的环境污染物，世界卫生组织(WHO)则将其作为优先研究的食品污染物。《食品安全国家标准 食品中污染物限量》（GB 2762—2017）中规定水产动物及其制品中的鱼类、甲壳类镉的限量≤0.5mg/kg。水产品中镉不合格可能是水产品养殖过程中对环境中镉元素的富集导致。镉对人体的危害主要是慢性蓄积性，长期大量摄入镉含量超标的食品可能导致肾和骨骼损伤等。</w:t>
      </w:r>
    </w:p>
    <w:p>
      <w:pPr>
        <w:pStyle w:val="4"/>
        <w:bidi w:val="0"/>
        <w:rPr>
          <w:rFonts w:hint="default"/>
          <w:lang w:val="en-US" w:eastAsia="zh-CN"/>
        </w:rPr>
      </w:pPr>
      <w:r>
        <w:rPr>
          <w:rFonts w:hint="eastAsia"/>
          <w:lang w:val="zh-CN" w:eastAsia="zh-CN"/>
        </w:rPr>
        <w:t>（九）菌落总数</w:t>
      </w:r>
    </w:p>
    <w:p>
      <w:pPr>
        <w:bidi w:val="0"/>
        <w:rPr>
          <w:rFonts w:hint="eastAsia"/>
          <w:lang w:val="en-US" w:eastAsia="zh-CN"/>
        </w:rPr>
      </w:pPr>
      <w:r>
        <w:rPr>
          <w:rFonts w:hint="eastAsia"/>
          <w:lang w:val="en-US" w:eastAsia="zh-CN"/>
        </w:rPr>
        <w:t>菌落总数是指示性微生物指标，并非致病菌指标。主要用来评价食品清洁度，反映食品在生产过程中是否符合卫生要求。《食品安全国家标准 熟肉制品》（GB2726—2016）中规定，一个熟肉制品样品的菌落总数5次检测结果均不得超过105CFU/g且至少3次检测结果不超过104CFU/g。）菌落总数超标可能是由于个别企业所使用的原辅料初始菌数较高，或未按要求严格控制生产加工过程的卫生条件，或包装容器清洗消毒不到位，还有可能是产品包装密封不严，储运条件控制不当等导致。如果食品的菌落总数严重超标，将会破坏食品的营养成分，加速食品的腐败变质，使食品失去食用价值。</w:t>
      </w:r>
    </w:p>
    <w:p>
      <w:pPr>
        <w:pStyle w:val="4"/>
        <w:bidi w:val="0"/>
        <w:rPr>
          <w:rFonts w:hint="default"/>
          <w:lang w:val="en-US" w:eastAsia="zh-CN"/>
        </w:rPr>
      </w:pPr>
      <w:r>
        <w:rPr>
          <w:rFonts w:hint="eastAsia"/>
          <w:lang w:val="zh-CN" w:eastAsia="zh-CN"/>
        </w:rPr>
        <w:t>（十）大肠菌群</w:t>
      </w:r>
    </w:p>
    <w:p>
      <w:pPr>
        <w:bidi w:val="0"/>
        <w:rPr>
          <w:rFonts w:hint="eastAsia"/>
          <w:lang w:val="en-US" w:eastAsia="zh-CN"/>
        </w:rPr>
      </w:pPr>
      <w:r>
        <w:rPr>
          <w:rFonts w:hint="eastAsia"/>
          <w:lang w:val="en-US" w:eastAsia="zh-CN"/>
        </w:rPr>
        <w:t>大肠菌群是国内外通用的食品污染常用指示菌之一。食品中检出大肠菌群，提示被致病菌（如沙门氏菌、志贺氏菌、致病性大肠杆菌）污染的可能性较大。《食品安全国家标准 冷冻饮品和制作料》（GB 2759-2015）中规定，一个样品的大肠菌群5次检测结果均不得超过100CFU/g且至少3次检测结果不超过10CFU/g。大肠菌群超标可能由于产品的加工原料、包装材料受污染，或在生产过程中产品受人员、工具器具等生产设备、环境的污染、有灭菌工艺的产品灭菌不彻底而导致。</w:t>
      </w:r>
    </w:p>
    <w:p>
      <w:pPr>
        <w:pStyle w:val="4"/>
        <w:bidi w:val="0"/>
        <w:rPr>
          <w:rFonts w:hint="eastAsia"/>
          <w:lang w:val="en-US" w:eastAsia="zh-CN"/>
        </w:rPr>
      </w:pPr>
      <w:r>
        <w:rPr>
          <w:rFonts w:hint="eastAsia"/>
          <w:lang w:val="en-US" w:eastAsia="zh-CN"/>
        </w:rPr>
        <w:t>（十一）柠檬黄</w:t>
      </w:r>
    </w:p>
    <w:p>
      <w:pPr>
        <w:bidi w:val="0"/>
        <w:rPr>
          <w:rFonts w:hint="eastAsia"/>
        </w:rPr>
      </w:pPr>
      <w:r>
        <w:rPr>
          <w:rFonts w:hint="eastAsia"/>
        </w:rPr>
        <w:t>柠檬黄是常见合成着色剂，在现代食品业中应用广泛。《食品安全国家标准 食品添加剂使用标准》（GB 2760-2014）中规定，不得在</w:t>
      </w:r>
      <w:r>
        <w:rPr>
          <w:rFonts w:hint="eastAsia"/>
          <w:lang w:eastAsia="zh-CN"/>
        </w:rPr>
        <w:t>水果罐头</w:t>
      </w:r>
      <w:r>
        <w:rPr>
          <w:rFonts w:hint="eastAsia"/>
        </w:rPr>
        <w:t>中使用柠檬黄</w:t>
      </w:r>
      <w:r>
        <w:rPr>
          <w:rFonts w:hint="eastAsia"/>
          <w:lang w:eastAsia="zh-CN"/>
        </w:rPr>
        <w:t>，</w:t>
      </w:r>
      <w:r>
        <w:rPr>
          <w:rFonts w:hint="eastAsia"/>
        </w:rPr>
        <w:t>柠檬黄项目不合格的原因，可能是生产厂家未严格按照标准使用食品添加剂或因投料时计量不准确导致。合成着色剂没有营养价值,长期过量食用合成着色剂超标的食品可能对人体健康产生一定影响。</w:t>
      </w:r>
    </w:p>
    <w:p>
      <w:pPr>
        <w:pStyle w:val="4"/>
        <w:bidi w:val="0"/>
        <w:rPr>
          <w:rFonts w:hint="eastAsia"/>
          <w:lang w:val="en-US" w:eastAsia="zh-CN"/>
        </w:rPr>
      </w:pPr>
      <w:r>
        <w:rPr>
          <w:rFonts w:hint="eastAsia"/>
          <w:lang w:val="en-US" w:eastAsia="zh-CN"/>
        </w:rPr>
        <w:t>（十二）脱氢乙酸及其钠盐</w:t>
      </w:r>
    </w:p>
    <w:p>
      <w:pPr>
        <w:bidi w:val="0"/>
        <w:rPr>
          <w:rFonts w:hint="eastAsia"/>
          <w:lang w:val="en-US" w:eastAsia="zh-CN"/>
        </w:rPr>
      </w:pPr>
      <w:r>
        <w:rPr>
          <w:rFonts w:hint="eastAsia"/>
          <w:lang w:eastAsia="zh-CN"/>
        </w:rPr>
        <w:t>脱氢乙酸是一种低毒高效防腐、防霉剂。在酸、碱条件下均有一定的抗菌作用，尤其对霉菌的抑制作用最强，对人体毒害较小而被广泛用作防腐剂使用。</w:t>
      </w:r>
      <w:r>
        <w:rPr>
          <w:rFonts w:hint="eastAsia"/>
          <w:lang w:val="en-US" w:eastAsia="zh-CN"/>
        </w:rPr>
        <w:t>《食品安全国家标准 食品添加剂使用标准》（GB 2760—2014）中规定，生湿面制品不得使用脱氢乙酸及其钠盐。脱氢乙酸及其钠盐不合格的原因可能是原料带入，原料脱氢乙酸超标或者超范围使用脱氢乙酸；或者个别生产者为防止食品腐败变质，延长保质期，违规、超量使用。由于脱氢乙酸可与血浆中的白蛋白或组织中蛋白质的胺基结合，若长期过量食用脱氢乙酸含量超标的食品可能会引起肝、肾和中枢神经系统的损伤。</w:t>
      </w:r>
    </w:p>
    <w:p>
      <w:pPr>
        <w:pStyle w:val="4"/>
        <w:bidi w:val="0"/>
        <w:rPr>
          <w:rFonts w:hint="eastAsia" w:ascii="楷体" w:hAnsi="楷体" w:eastAsia="楷体" w:cstheme="majorBidi"/>
          <w:b/>
          <w:bCs/>
          <w:kern w:val="2"/>
          <w:sz w:val="32"/>
          <w:szCs w:val="32"/>
          <w:lang w:val="zh-CN" w:eastAsia="zh-CN" w:bidi="ar-SA"/>
        </w:rPr>
      </w:pPr>
      <w:r>
        <w:rPr>
          <w:rFonts w:hint="eastAsia" w:ascii="楷体" w:hAnsi="楷体" w:eastAsia="楷体" w:cstheme="majorBidi"/>
          <w:b/>
          <w:bCs/>
          <w:kern w:val="2"/>
          <w:sz w:val="32"/>
          <w:szCs w:val="32"/>
          <w:lang w:val="zh-CN" w:eastAsia="zh-CN" w:bidi="ar-SA"/>
        </w:rPr>
        <w:t>（</w:t>
      </w:r>
      <w:r>
        <w:rPr>
          <w:rFonts w:hint="eastAsia" w:ascii="楷体" w:hAnsi="楷体" w:eastAsia="楷体" w:cstheme="majorBidi"/>
          <w:b/>
          <w:bCs/>
          <w:kern w:val="2"/>
          <w:sz w:val="32"/>
          <w:szCs w:val="32"/>
          <w:lang w:val="en-US" w:eastAsia="zh-CN" w:bidi="ar-SA"/>
        </w:rPr>
        <w:t>十三</w:t>
      </w:r>
      <w:r>
        <w:rPr>
          <w:rFonts w:hint="eastAsia" w:ascii="楷体" w:hAnsi="楷体" w:eastAsia="楷体" w:cstheme="majorBidi"/>
          <w:b/>
          <w:bCs/>
          <w:kern w:val="2"/>
          <w:sz w:val="32"/>
          <w:szCs w:val="32"/>
          <w:lang w:val="zh-CN" w:eastAsia="zh-CN" w:bidi="ar-SA"/>
        </w:rPr>
        <w:t>）苯甲酸及其钠盐</w:t>
      </w:r>
    </w:p>
    <w:p>
      <w:pPr>
        <w:bidi w:val="0"/>
        <w:rPr>
          <w:rFonts w:hint="eastAsia"/>
          <w:lang w:val="en-US" w:eastAsia="zh-CN"/>
        </w:rPr>
      </w:pPr>
      <w:r>
        <w:rPr>
          <w:rFonts w:hint="eastAsia"/>
          <w:lang w:val="en-US" w:eastAsia="zh-CN"/>
        </w:rPr>
        <w:t>苯甲酸及其钠盐是食品工业中常见的一种防腐保鲜剂，对霉菌、酵母和细菌有较好的抑制作用。《食品安全国家标准 食品添加剂使用标准》（GB 2760—2014）中规定，干制食用菌不得使用苯甲酸及其钠盐。干制食用菌苯甲酸超标可能是生产者为了防止腐败变质以延长保质期，超范围或超限量使用苯甲酸。苯甲酸及其钠盐的安全性较高，少量苯甲酸对人体无毒害，可随尿液排出体外，在人体内不会蓄积，对组织无明显损害。若长期过量食入苯甲酸超标的食品可能会对肝脏功能产生一定影响。</w:t>
      </w:r>
    </w:p>
    <w:p>
      <w:pPr>
        <w:pStyle w:val="4"/>
        <w:bidi w:val="0"/>
        <w:rPr>
          <w:rFonts w:hint="eastAsia"/>
          <w:lang w:val="en-US" w:eastAsia="zh-CN"/>
        </w:rPr>
      </w:pPr>
      <w:r>
        <w:rPr>
          <w:rFonts w:hint="eastAsia"/>
          <w:lang w:val="zh-CN"/>
        </w:rPr>
        <w:t>（</w:t>
      </w:r>
      <w:r>
        <w:rPr>
          <w:rFonts w:hint="eastAsia"/>
          <w:lang w:val="en-US" w:eastAsia="zh-CN"/>
        </w:rPr>
        <w:t>十四</w:t>
      </w:r>
      <w:r>
        <w:rPr>
          <w:rFonts w:hint="eastAsia"/>
          <w:lang w:val="zh-CN"/>
        </w:rPr>
        <w:t>）</w:t>
      </w:r>
      <w:r>
        <w:rPr>
          <w:rFonts w:hint="eastAsia"/>
          <w:lang w:val="en-US" w:eastAsia="zh-CN"/>
        </w:rPr>
        <w:t>五氯酚酸钠（以五氯酚计）</w:t>
      </w:r>
    </w:p>
    <w:p>
      <w:pPr>
        <w:bidi w:val="0"/>
        <w:rPr>
          <w:rFonts w:hint="eastAsia"/>
          <w:lang w:val="zh-CN"/>
        </w:rPr>
      </w:pPr>
      <w:r>
        <w:rPr>
          <w:rFonts w:hint="eastAsia"/>
          <w:lang w:val="zh-CN"/>
        </w:rPr>
        <w:t>五氯酚酸钠属于有机氯农药，常被用作除草剂、杀菌剂，或用于鱼塘虾塘的消毒。《中华人民共和国农业农村部公告第250号》要求中规定，五氯酚酸钠为禁止使用的药物，在动物性食品中不得检出。五氯酚酸钠由于其水溶性，易造成水或土壤污染，通过食物链作用进入牲畜体内，进而进入人体内。五氯酚酸钠能抑制生物代谢过程中氧化磷酸化作用，长期摄入这类物质，可能会对人体的肝、肾及中枢神经系统造成损害。</w:t>
      </w:r>
    </w:p>
    <w:p>
      <w:pPr>
        <w:pStyle w:val="4"/>
        <w:bidi w:val="0"/>
        <w:rPr>
          <w:rFonts w:hint="eastAsia"/>
          <w:lang w:val="en-US" w:eastAsia="zh-CN"/>
        </w:rPr>
      </w:pPr>
      <w:r>
        <w:rPr>
          <w:rFonts w:hint="eastAsia"/>
          <w:lang w:val="en-US" w:eastAsia="zh-CN"/>
        </w:rPr>
        <w:t>（十五）防腐剂混合使用时各自用量占其最大使用量的比例之和</w:t>
      </w:r>
    </w:p>
    <w:p>
      <w:pPr>
        <w:bidi w:val="0"/>
        <w:rPr>
          <w:rFonts w:hint="eastAsia"/>
        </w:rPr>
      </w:pPr>
      <w:r>
        <w:rPr>
          <w:rFonts w:hint="eastAsia"/>
        </w:rPr>
        <w:t>防腐剂是以保持食品原有品质和营养价值为目的的食品添加剂，它能抑制微生物的生长繁殖，防止食品腐败变质从而延长保质期。《食品安全国家标准 食品添加剂使用标准》（GB 2760-2014）不仅规定了我国在食品中允许添加的某一添加剂的种类、使用量或残留量，而且规定了同一功能的食品添加剂（相同色泽着色剂、防腐剂、抗氧化剂）在混合使用时，各自用量占其最大使用量的比例之和不应超过1。我国允许使用的食品防腐剂为低毒、安全性较高的品种，但长期过量摄入可能会对人体健康造成一定的损害。</w:t>
      </w:r>
    </w:p>
    <w:p>
      <w:pPr>
        <w:pStyle w:val="4"/>
        <w:bidi w:val="0"/>
        <w:rPr>
          <w:rFonts w:hint="eastAsia"/>
          <w:lang w:val="en-US" w:eastAsia="zh-CN"/>
        </w:rPr>
      </w:pPr>
      <w:r>
        <w:rPr>
          <w:rFonts w:hint="eastAsia"/>
          <w:lang w:val="en-US" w:eastAsia="zh-CN"/>
        </w:rPr>
        <w:t>（十六）极性组分</w:t>
      </w:r>
    </w:p>
    <w:p>
      <w:pPr>
        <w:bidi w:val="0"/>
        <w:rPr>
          <w:rFonts w:hint="eastAsia"/>
        </w:rPr>
      </w:pPr>
      <w:r>
        <w:rPr>
          <w:rFonts w:hint="eastAsia"/>
        </w:rPr>
        <w:t>食用植物油经高温加热和反复使用后可发生—系列化学反应。在营养价值下降的同时还会产生某些毒性物质，如丙烯酰胺、多环芳烃、醛基和羰基物质等，这些物质的增加，可使油的物理极性增加，由此又将这些物质称为极性物质。油的不饱和程度越高、油温越高、反复煎炸的次数越多、极性物质产生和增加的也就越多。《食品安全国家标准 植物油》（</w:t>
      </w:r>
      <w:r>
        <w:rPr>
          <w:rFonts w:hint="default"/>
        </w:rPr>
        <w:t>GB 2716-2018</w:t>
      </w:r>
      <w:r>
        <w:rPr>
          <w:rFonts w:hint="eastAsia"/>
        </w:rPr>
        <w:t>）中规定，植物油的极性组分应≤27 %。植物油中极性组分超标不仅影响油脂本身的品质和风味，还</w:t>
      </w:r>
      <w:r>
        <w:rPr>
          <w:rFonts w:hint="eastAsia"/>
          <w:lang w:eastAsia="zh-CN"/>
        </w:rPr>
        <w:t>可能</w:t>
      </w:r>
      <w:r>
        <w:rPr>
          <w:rFonts w:hint="eastAsia"/>
        </w:rPr>
        <w:t>对人体健康有害。</w:t>
      </w:r>
    </w:p>
    <w:p>
      <w:pPr>
        <w:pStyle w:val="4"/>
        <w:numPr>
          <w:ilvl w:val="0"/>
          <w:numId w:val="1"/>
        </w:numPr>
        <w:bidi w:val="0"/>
        <w:rPr>
          <w:rFonts w:hint="eastAsia"/>
          <w:lang w:eastAsia="zh-CN"/>
        </w:rPr>
      </w:pPr>
      <w:r>
        <w:rPr>
          <w:rFonts w:hint="eastAsia"/>
          <w:lang w:eastAsia="zh-CN"/>
        </w:rPr>
        <w:t>过氧化值(以脂肪计)</w:t>
      </w:r>
    </w:p>
    <w:p>
      <w:pPr>
        <w:rPr>
          <w:rFonts w:hint="eastAsia" w:eastAsia="仿宋_GB2312"/>
          <w:lang w:val="en-US" w:eastAsia="zh-CN"/>
        </w:rPr>
      </w:pPr>
      <w:r>
        <w:rPr>
          <w:rFonts w:hint="eastAsia"/>
          <w:lang w:eastAsia="zh-CN"/>
        </w:rPr>
        <w:t>过氧化值主要反映食品中油脂是否氧化变质。随着产品中油脂氧化，过氧化值会逐步升高，食品中过氧化值超标，会散发哈喇味。《食品安全国家标准 腌腊肉制品》（GB 2730-2015）</w:t>
      </w:r>
      <w:r>
        <w:rPr>
          <w:rFonts w:hint="eastAsia"/>
          <w:lang w:val="en-US" w:eastAsia="zh-CN"/>
        </w:rPr>
        <w:t>种规定，腌腊肉制品的过氧化值（以脂肪计）不得超过0.5g/100g。导致</w:t>
      </w:r>
      <w:r>
        <w:rPr>
          <w:rFonts w:hint="eastAsia"/>
          <w:lang w:eastAsia="zh-CN"/>
        </w:rPr>
        <w:t>过氧化值(以脂肪计)</w:t>
      </w:r>
      <w:r>
        <w:rPr>
          <w:rFonts w:hint="eastAsia"/>
          <w:lang w:val="en-US" w:eastAsia="zh-CN"/>
        </w:rPr>
        <w:t>超标的原因可能是</w:t>
      </w:r>
      <w:r>
        <w:rPr>
          <w:rFonts w:hint="eastAsia"/>
        </w:rPr>
        <w:t>产品包装不符合要求，受温度、湿度、空气、光线等影响促使油脂氧化加速，致使产品过氧化值超标</w:t>
      </w:r>
      <w:r>
        <w:rPr>
          <w:rFonts w:hint="eastAsia"/>
          <w:lang w:eastAsia="zh-CN"/>
        </w:rPr>
        <w:t>。</w:t>
      </w:r>
      <w:r>
        <w:rPr>
          <w:rFonts w:hint="eastAsia"/>
        </w:rPr>
        <w:t>过氧化值一般不会对人体的健康产生损害，但严重时会导致肠胃不适、腹泻等症状</w:t>
      </w:r>
      <w:r>
        <w:rPr>
          <w:rFonts w:hint="eastAsia"/>
          <w:lang w:eastAsia="zh-CN"/>
        </w:rPr>
        <w:t>，</w:t>
      </w:r>
      <w:r>
        <w:rPr>
          <w:rFonts w:hint="eastAsia"/>
        </w:rPr>
        <w:t>长期食用过氧化值超标的食物对人体的健康非常不利</w:t>
      </w:r>
      <w:r>
        <w:rPr>
          <w:rFonts w:hint="eastAsia"/>
          <w:lang w:eastAsia="zh-CN"/>
        </w:rPr>
        <w:t>。</w:t>
      </w:r>
    </w:p>
    <w:p>
      <w:pPr>
        <w:pStyle w:val="4"/>
        <w:numPr>
          <w:ilvl w:val="0"/>
          <w:numId w:val="1"/>
        </w:numPr>
        <w:bidi w:val="0"/>
        <w:rPr>
          <w:rFonts w:hint="eastAsia"/>
          <w:lang w:eastAsia="zh-CN"/>
        </w:rPr>
      </w:pPr>
      <w:r>
        <w:rPr>
          <w:rFonts w:hint="eastAsia"/>
          <w:lang w:val="en-US" w:eastAsia="zh-CN"/>
        </w:rPr>
        <w:t>水胺硫磷</w:t>
      </w:r>
    </w:p>
    <w:p>
      <w:pPr>
        <w:bidi w:val="0"/>
        <w:rPr>
          <w:rFonts w:hint="eastAsia"/>
        </w:rPr>
      </w:pPr>
      <w:r>
        <w:rPr>
          <w:rFonts w:hint="eastAsia"/>
          <w:lang w:eastAsia="zh-CN"/>
        </w:rPr>
        <w:t>水胺硫磷是一种广谱、高效、高毒性、低残留的硫代磷酰胺类杀虫剂，兼具胃毒和杀卵作用，主要用于防治果树、水稻和棉花害虫。《食品安全国家标准食品中农药最大残留限量》（GB</w:t>
      </w:r>
      <w:r>
        <w:rPr>
          <w:rFonts w:hint="eastAsia"/>
          <w:lang w:val="en-US" w:eastAsia="zh-CN"/>
        </w:rPr>
        <w:t xml:space="preserve"> </w:t>
      </w:r>
      <w:r>
        <w:rPr>
          <w:rFonts w:hint="eastAsia"/>
          <w:lang w:eastAsia="zh-CN"/>
        </w:rPr>
        <w:t>2763—2021）中规定，</w:t>
      </w:r>
      <w:r>
        <w:rPr>
          <w:rFonts w:hint="eastAsia"/>
          <w:lang w:val="en-US" w:eastAsia="zh-CN"/>
        </w:rPr>
        <w:t>茶叶中</w:t>
      </w:r>
      <w:r>
        <w:rPr>
          <w:rFonts w:hint="eastAsia"/>
          <w:lang w:eastAsia="zh-CN"/>
        </w:rPr>
        <w:t>水胺硫磷限量值为0.05mg/kg。水胺硫磷超标的原因，可能是为快速控制病情加大用药量或未遵守采摘间隔期规定，致使上市销售时产品中的药物残留量未降解至标准限量值以下。</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93638EE-1F04-49ED-BC19-21FC52174BA7}"/>
  </w:font>
  <w:font w:name="黑体">
    <w:panose1 w:val="02010609060101010101"/>
    <w:charset w:val="86"/>
    <w:family w:val="auto"/>
    <w:pitch w:val="default"/>
    <w:sig w:usb0="800002BF" w:usb1="38CF7CFA" w:usb2="00000016" w:usb3="00000000" w:csb0="00040001" w:csb1="00000000"/>
    <w:embedRegular r:id="rId2" w:fontKey="{20DD9E14-02DF-478F-BD40-36503C320A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94A0D186-692C-4ECE-A51A-66B7C8DA0529}"/>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4" w:fontKey="{1A1772CC-0104-4FF0-BE62-954B6EA6C811}"/>
  </w:font>
  <w:font w:name="华文中宋">
    <w:panose1 w:val="02010600040101010101"/>
    <w:charset w:val="86"/>
    <w:family w:val="auto"/>
    <w:pitch w:val="default"/>
    <w:sig w:usb0="00000287" w:usb1="080F0000" w:usb2="00000000" w:usb3="00000000" w:csb0="0004009F" w:csb1="DFD70000"/>
    <w:embedRegular r:id="rId5" w:fontKey="{49AB4F76-7ADD-4887-B6E3-FE397A717031}"/>
  </w:font>
  <w:font w:name="楷体">
    <w:panose1 w:val="02010609060101010101"/>
    <w:charset w:val="86"/>
    <w:family w:val="modern"/>
    <w:pitch w:val="default"/>
    <w:sig w:usb0="800002BF" w:usb1="38CF7CFA" w:usb2="00000016" w:usb3="00000000" w:csb0="00040001" w:csb1="00000000"/>
    <w:embedRegular r:id="rId6" w:fontKey="{35805B42-D8E9-4326-9C04-DB9A44989D0C}"/>
  </w:font>
  <w:font w:name="仿宋">
    <w:panose1 w:val="02010609060101010101"/>
    <w:charset w:val="86"/>
    <w:family w:val="modern"/>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楷体_GB231">
    <w:altName w:val="楷体_GB2312"/>
    <w:panose1 w:val="00000000000000000000"/>
    <w:charset w:val="00"/>
    <w:family w:val="auto"/>
    <w:pitch w:val="default"/>
    <w:sig w:usb0="00000000" w:usb1="00000000" w:usb2="00000000" w:usb3="00000000" w:csb0="00000000" w:csb1="00000000"/>
  </w:font>
  <w:font w:name="楷体_GB23">
    <w:altName w:val="楷体_GB2312"/>
    <w:panose1 w:val="00000000000000000000"/>
    <w:charset w:val="00"/>
    <w:family w:val="auto"/>
    <w:pitch w:val="default"/>
    <w:sig w:usb0="00000000" w:usb1="00000000" w:usb2="00000000" w:usb3="00000000" w:csb0="00000000" w:csb1="00000000"/>
  </w:font>
  <w:font w:name="楷体_GB2">
    <w:altName w:val="楷体_GB2312"/>
    <w:panose1 w:val="00000000000000000000"/>
    <w:charset w:val="00"/>
    <w:family w:val="auto"/>
    <w:pitch w:val="default"/>
    <w:sig w:usb0="00000000" w:usb1="00000000" w:usb2="00000000" w:usb3="00000000" w:csb0="00000000" w:csb1="00000000"/>
  </w:font>
  <w:font w:name="楷体_GB">
    <w:altName w:val="楷体_GB2312"/>
    <w:panose1 w:val="00000000000000000000"/>
    <w:charset w:val="00"/>
    <w:family w:val="auto"/>
    <w:pitch w:val="default"/>
    <w:sig w:usb0="00000000" w:usb1="00000000" w:usb2="00000000" w:usb3="00000000" w:csb0="00000000" w:csb1="00000000"/>
  </w:font>
  <w:font w:name="楷体_G">
    <w:altName w:val="楷体_GB2312"/>
    <w:panose1 w:val="00000000000000000000"/>
    <w:charset w:val="00"/>
    <w:family w:val="auto"/>
    <w:pitch w:val="default"/>
    <w:sig w:usb0="00000000" w:usb1="00000000" w:usb2="00000000" w:usb3="00000000" w:csb0="00000000" w:csb1="00000000"/>
  </w:font>
  <w:font w:name="楷体_">
    <w:altName w:val="楷体_GB2312"/>
    <w:panose1 w:val="00000000000000000000"/>
    <w:charset w:val="00"/>
    <w:family w:val="auto"/>
    <w:pitch w:val="default"/>
    <w:sig w:usb0="00000000" w:usb1="00000000" w:usb2="00000000" w:usb3="00000000" w:csb0="00000000" w:csb1="00000000"/>
  </w:font>
  <w:font w:name="楷">
    <w:altName w:val="楷体_GB2312"/>
    <w:panose1 w:val="00000000000000000000"/>
    <w:charset w:val="00"/>
    <w:family w:val="auto"/>
    <w:pitch w:val="default"/>
    <w:sig w:usb0="00000000" w:usb1="00000000" w:usb2="00000000" w:usb3="00000000" w:csb0="00000000" w:csb1="00000000"/>
  </w:font>
  <w:font w:name="该题">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该">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E137CD"/>
    <w:multiLevelType w:val="singleLevel"/>
    <w:tmpl w:val="1BE137CD"/>
    <w:lvl w:ilvl="0" w:tentative="0">
      <w:start w:val="1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mMjRjMTY4ODk4N2I1MjE1NWUxNTU1NGNmZjcyMDUifQ=="/>
  </w:docVars>
  <w:rsids>
    <w:rsidRoot w:val="010D4506"/>
    <w:rsid w:val="000139C9"/>
    <w:rsid w:val="005363F0"/>
    <w:rsid w:val="006B1DCC"/>
    <w:rsid w:val="00724BD2"/>
    <w:rsid w:val="008D6C99"/>
    <w:rsid w:val="00B977A2"/>
    <w:rsid w:val="00BE4BAD"/>
    <w:rsid w:val="010D4506"/>
    <w:rsid w:val="01565C22"/>
    <w:rsid w:val="017D0269"/>
    <w:rsid w:val="01880CE2"/>
    <w:rsid w:val="01D53863"/>
    <w:rsid w:val="01DD3C4D"/>
    <w:rsid w:val="03365C46"/>
    <w:rsid w:val="034743C9"/>
    <w:rsid w:val="034F1986"/>
    <w:rsid w:val="03E020C5"/>
    <w:rsid w:val="03FD00B3"/>
    <w:rsid w:val="0453793B"/>
    <w:rsid w:val="04977BD5"/>
    <w:rsid w:val="055921C9"/>
    <w:rsid w:val="055A195A"/>
    <w:rsid w:val="0597115B"/>
    <w:rsid w:val="05BE1FE7"/>
    <w:rsid w:val="06261016"/>
    <w:rsid w:val="06585F98"/>
    <w:rsid w:val="066C5CEA"/>
    <w:rsid w:val="06894B40"/>
    <w:rsid w:val="06F0528D"/>
    <w:rsid w:val="06F3181D"/>
    <w:rsid w:val="07486F42"/>
    <w:rsid w:val="07C82C95"/>
    <w:rsid w:val="07E04EFC"/>
    <w:rsid w:val="081209FA"/>
    <w:rsid w:val="081B38E6"/>
    <w:rsid w:val="08AD06EB"/>
    <w:rsid w:val="08F00F9F"/>
    <w:rsid w:val="091C5D20"/>
    <w:rsid w:val="099F35F4"/>
    <w:rsid w:val="0A101FAB"/>
    <w:rsid w:val="0A416AB6"/>
    <w:rsid w:val="0A545255"/>
    <w:rsid w:val="0AEA5DCE"/>
    <w:rsid w:val="0B66492E"/>
    <w:rsid w:val="0B6F4B3F"/>
    <w:rsid w:val="0C083FBC"/>
    <w:rsid w:val="0C0C4E1D"/>
    <w:rsid w:val="0C455D22"/>
    <w:rsid w:val="0C6F4539"/>
    <w:rsid w:val="0C760736"/>
    <w:rsid w:val="0CD4225F"/>
    <w:rsid w:val="0D1C5633"/>
    <w:rsid w:val="0D6C4E32"/>
    <w:rsid w:val="0DE87C01"/>
    <w:rsid w:val="0E431583"/>
    <w:rsid w:val="0EA926E5"/>
    <w:rsid w:val="0EA93008"/>
    <w:rsid w:val="0EC839C2"/>
    <w:rsid w:val="0F261454"/>
    <w:rsid w:val="0F567840"/>
    <w:rsid w:val="0FB71F81"/>
    <w:rsid w:val="0FE51EE1"/>
    <w:rsid w:val="108B31AA"/>
    <w:rsid w:val="10AD16A7"/>
    <w:rsid w:val="10BA4D47"/>
    <w:rsid w:val="1162065F"/>
    <w:rsid w:val="11B32DA0"/>
    <w:rsid w:val="11BA183E"/>
    <w:rsid w:val="11CE6913"/>
    <w:rsid w:val="11E172CB"/>
    <w:rsid w:val="11F21CEC"/>
    <w:rsid w:val="1210526E"/>
    <w:rsid w:val="12AF7645"/>
    <w:rsid w:val="12B51B83"/>
    <w:rsid w:val="12D976B3"/>
    <w:rsid w:val="137821D3"/>
    <w:rsid w:val="139A1CB2"/>
    <w:rsid w:val="13E774D5"/>
    <w:rsid w:val="141B2394"/>
    <w:rsid w:val="14292A97"/>
    <w:rsid w:val="1499532A"/>
    <w:rsid w:val="1512088F"/>
    <w:rsid w:val="155219D3"/>
    <w:rsid w:val="15FE7C46"/>
    <w:rsid w:val="16396F4B"/>
    <w:rsid w:val="164E081E"/>
    <w:rsid w:val="164E1FAB"/>
    <w:rsid w:val="165773C2"/>
    <w:rsid w:val="16A102CE"/>
    <w:rsid w:val="16A52765"/>
    <w:rsid w:val="176818BF"/>
    <w:rsid w:val="17C62E78"/>
    <w:rsid w:val="17CA0823"/>
    <w:rsid w:val="17FA5E44"/>
    <w:rsid w:val="181E6360"/>
    <w:rsid w:val="182C56B9"/>
    <w:rsid w:val="18F91C2D"/>
    <w:rsid w:val="18FA3DC4"/>
    <w:rsid w:val="196F7429"/>
    <w:rsid w:val="199008F8"/>
    <w:rsid w:val="19EB104A"/>
    <w:rsid w:val="1A19393D"/>
    <w:rsid w:val="1A81096D"/>
    <w:rsid w:val="1A84029D"/>
    <w:rsid w:val="1AC759AF"/>
    <w:rsid w:val="1B042E72"/>
    <w:rsid w:val="1B7E0D88"/>
    <w:rsid w:val="1C2B3ECE"/>
    <w:rsid w:val="1C354059"/>
    <w:rsid w:val="1D3D5D17"/>
    <w:rsid w:val="1DB57EDF"/>
    <w:rsid w:val="1E3C794C"/>
    <w:rsid w:val="1EFD4E3F"/>
    <w:rsid w:val="1F120F82"/>
    <w:rsid w:val="1F456A61"/>
    <w:rsid w:val="1FEA3D63"/>
    <w:rsid w:val="200B2815"/>
    <w:rsid w:val="20303594"/>
    <w:rsid w:val="208760C8"/>
    <w:rsid w:val="208E2538"/>
    <w:rsid w:val="2103478D"/>
    <w:rsid w:val="219C06C7"/>
    <w:rsid w:val="22F15479"/>
    <w:rsid w:val="231A399D"/>
    <w:rsid w:val="24415E66"/>
    <w:rsid w:val="248553AF"/>
    <w:rsid w:val="249A66FD"/>
    <w:rsid w:val="24F01236"/>
    <w:rsid w:val="25131149"/>
    <w:rsid w:val="255973C6"/>
    <w:rsid w:val="255D305C"/>
    <w:rsid w:val="257D0D7B"/>
    <w:rsid w:val="25D84592"/>
    <w:rsid w:val="262E6380"/>
    <w:rsid w:val="26635934"/>
    <w:rsid w:val="26D25598"/>
    <w:rsid w:val="27084E46"/>
    <w:rsid w:val="270C1F17"/>
    <w:rsid w:val="274815F0"/>
    <w:rsid w:val="27537B32"/>
    <w:rsid w:val="27786C5E"/>
    <w:rsid w:val="27D171E0"/>
    <w:rsid w:val="282A264F"/>
    <w:rsid w:val="28664823"/>
    <w:rsid w:val="28EE2E75"/>
    <w:rsid w:val="29166F65"/>
    <w:rsid w:val="2928376B"/>
    <w:rsid w:val="29292876"/>
    <w:rsid w:val="295771E6"/>
    <w:rsid w:val="29DF09A6"/>
    <w:rsid w:val="2A2E5413"/>
    <w:rsid w:val="2A706ED1"/>
    <w:rsid w:val="2A95365C"/>
    <w:rsid w:val="2ACC6C6B"/>
    <w:rsid w:val="2B0D6532"/>
    <w:rsid w:val="2BA5399C"/>
    <w:rsid w:val="2C6F3579"/>
    <w:rsid w:val="2C784420"/>
    <w:rsid w:val="2D2D024C"/>
    <w:rsid w:val="2DA27B95"/>
    <w:rsid w:val="2DCA4231"/>
    <w:rsid w:val="2E172668"/>
    <w:rsid w:val="2E6B3A9D"/>
    <w:rsid w:val="2E871900"/>
    <w:rsid w:val="2F085758"/>
    <w:rsid w:val="2F3F7F56"/>
    <w:rsid w:val="2F4F707A"/>
    <w:rsid w:val="2FD45D99"/>
    <w:rsid w:val="2FFC71C6"/>
    <w:rsid w:val="307B5CC3"/>
    <w:rsid w:val="308A4336"/>
    <w:rsid w:val="30B3361E"/>
    <w:rsid w:val="31044F7C"/>
    <w:rsid w:val="31200851"/>
    <w:rsid w:val="31831750"/>
    <w:rsid w:val="3189778C"/>
    <w:rsid w:val="31AA7543"/>
    <w:rsid w:val="31EA5456"/>
    <w:rsid w:val="31EF1FC4"/>
    <w:rsid w:val="323F00BC"/>
    <w:rsid w:val="324700B2"/>
    <w:rsid w:val="330F0153"/>
    <w:rsid w:val="33132CF8"/>
    <w:rsid w:val="3334531C"/>
    <w:rsid w:val="336A3327"/>
    <w:rsid w:val="33713745"/>
    <w:rsid w:val="34264611"/>
    <w:rsid w:val="343E30F0"/>
    <w:rsid w:val="348E513C"/>
    <w:rsid w:val="34A77C54"/>
    <w:rsid w:val="34B74329"/>
    <w:rsid w:val="34FF4C0B"/>
    <w:rsid w:val="354F3FC5"/>
    <w:rsid w:val="35BC7A15"/>
    <w:rsid w:val="36A26439"/>
    <w:rsid w:val="36A86284"/>
    <w:rsid w:val="372845B2"/>
    <w:rsid w:val="37790A88"/>
    <w:rsid w:val="3787038C"/>
    <w:rsid w:val="37CC35F3"/>
    <w:rsid w:val="37DD6246"/>
    <w:rsid w:val="37FC2378"/>
    <w:rsid w:val="38213B8C"/>
    <w:rsid w:val="382D7593"/>
    <w:rsid w:val="38622AFA"/>
    <w:rsid w:val="387272BF"/>
    <w:rsid w:val="38865B2F"/>
    <w:rsid w:val="38E250CA"/>
    <w:rsid w:val="391B060E"/>
    <w:rsid w:val="39264334"/>
    <w:rsid w:val="39275408"/>
    <w:rsid w:val="39824C43"/>
    <w:rsid w:val="398B0B0F"/>
    <w:rsid w:val="39C64A66"/>
    <w:rsid w:val="3AB301FA"/>
    <w:rsid w:val="3B1904CB"/>
    <w:rsid w:val="3B2518DE"/>
    <w:rsid w:val="3B504FA6"/>
    <w:rsid w:val="3BAB1A67"/>
    <w:rsid w:val="3BFE4DC9"/>
    <w:rsid w:val="3C064771"/>
    <w:rsid w:val="3CA67A9F"/>
    <w:rsid w:val="3CDD7A17"/>
    <w:rsid w:val="3DBC0B10"/>
    <w:rsid w:val="3DF44DD4"/>
    <w:rsid w:val="3E051E67"/>
    <w:rsid w:val="3E1079E4"/>
    <w:rsid w:val="3E182457"/>
    <w:rsid w:val="3E88008E"/>
    <w:rsid w:val="3E984FE9"/>
    <w:rsid w:val="3EC80CDE"/>
    <w:rsid w:val="3F033412"/>
    <w:rsid w:val="3F0B45B6"/>
    <w:rsid w:val="3F685D87"/>
    <w:rsid w:val="3F743896"/>
    <w:rsid w:val="3F7A3AC2"/>
    <w:rsid w:val="40191044"/>
    <w:rsid w:val="42016010"/>
    <w:rsid w:val="428251DB"/>
    <w:rsid w:val="42C23130"/>
    <w:rsid w:val="42D71D53"/>
    <w:rsid w:val="43974288"/>
    <w:rsid w:val="439F5506"/>
    <w:rsid w:val="440F147B"/>
    <w:rsid w:val="44141429"/>
    <w:rsid w:val="44896D41"/>
    <w:rsid w:val="44D452BA"/>
    <w:rsid w:val="45104BE6"/>
    <w:rsid w:val="460F4F06"/>
    <w:rsid w:val="464A4562"/>
    <w:rsid w:val="46CC6013"/>
    <w:rsid w:val="482B56E1"/>
    <w:rsid w:val="4848609B"/>
    <w:rsid w:val="4852746A"/>
    <w:rsid w:val="4864409A"/>
    <w:rsid w:val="48961A2D"/>
    <w:rsid w:val="48E60C18"/>
    <w:rsid w:val="49346CC6"/>
    <w:rsid w:val="49664C37"/>
    <w:rsid w:val="499A7ACA"/>
    <w:rsid w:val="4AF350DE"/>
    <w:rsid w:val="4B223C16"/>
    <w:rsid w:val="4B37566A"/>
    <w:rsid w:val="4B3F5F2B"/>
    <w:rsid w:val="4BCB614C"/>
    <w:rsid w:val="4C7A639D"/>
    <w:rsid w:val="4CE91A69"/>
    <w:rsid w:val="4CF5205D"/>
    <w:rsid w:val="4D022C3B"/>
    <w:rsid w:val="4DAC348D"/>
    <w:rsid w:val="4E0D626A"/>
    <w:rsid w:val="4E183BFE"/>
    <w:rsid w:val="4E403AAD"/>
    <w:rsid w:val="4EAD6BF5"/>
    <w:rsid w:val="4EBC0748"/>
    <w:rsid w:val="4ECB0493"/>
    <w:rsid w:val="4ECC3762"/>
    <w:rsid w:val="4F0F0515"/>
    <w:rsid w:val="4F4940D8"/>
    <w:rsid w:val="4FE23640"/>
    <w:rsid w:val="4FED4605"/>
    <w:rsid w:val="50137889"/>
    <w:rsid w:val="503305EE"/>
    <w:rsid w:val="50561BEF"/>
    <w:rsid w:val="51F5342B"/>
    <w:rsid w:val="52332F51"/>
    <w:rsid w:val="528B5881"/>
    <w:rsid w:val="52A0415B"/>
    <w:rsid w:val="52E13353"/>
    <w:rsid w:val="52FE47AC"/>
    <w:rsid w:val="533A17A5"/>
    <w:rsid w:val="53465E28"/>
    <w:rsid w:val="534B1050"/>
    <w:rsid w:val="5370241B"/>
    <w:rsid w:val="53785E73"/>
    <w:rsid w:val="538B58DC"/>
    <w:rsid w:val="539260FB"/>
    <w:rsid w:val="53FD7C6B"/>
    <w:rsid w:val="54487F56"/>
    <w:rsid w:val="548A3477"/>
    <w:rsid w:val="550906E8"/>
    <w:rsid w:val="551B6EF1"/>
    <w:rsid w:val="557E5EAF"/>
    <w:rsid w:val="55961D9B"/>
    <w:rsid w:val="55F22D46"/>
    <w:rsid w:val="56D02FB6"/>
    <w:rsid w:val="56FE090D"/>
    <w:rsid w:val="5737759B"/>
    <w:rsid w:val="577D74E9"/>
    <w:rsid w:val="57FE2087"/>
    <w:rsid w:val="586B71C9"/>
    <w:rsid w:val="590154BD"/>
    <w:rsid w:val="59367922"/>
    <w:rsid w:val="59527B6B"/>
    <w:rsid w:val="59AF7439"/>
    <w:rsid w:val="59CC251A"/>
    <w:rsid w:val="59E33FF0"/>
    <w:rsid w:val="59EA54F5"/>
    <w:rsid w:val="5A5B4E1E"/>
    <w:rsid w:val="5A607799"/>
    <w:rsid w:val="5A8913F1"/>
    <w:rsid w:val="5AED1980"/>
    <w:rsid w:val="5B13142F"/>
    <w:rsid w:val="5B4B2BCB"/>
    <w:rsid w:val="5B98016E"/>
    <w:rsid w:val="5C000884"/>
    <w:rsid w:val="5C224F8E"/>
    <w:rsid w:val="5C240B88"/>
    <w:rsid w:val="5C317F92"/>
    <w:rsid w:val="5E0606ED"/>
    <w:rsid w:val="5E0D1B19"/>
    <w:rsid w:val="5E214E94"/>
    <w:rsid w:val="5E275C6B"/>
    <w:rsid w:val="5E553A15"/>
    <w:rsid w:val="5E5703AB"/>
    <w:rsid w:val="5E7004E1"/>
    <w:rsid w:val="5E7F3F9B"/>
    <w:rsid w:val="5E9E3209"/>
    <w:rsid w:val="5ECD4C7F"/>
    <w:rsid w:val="5EEC66E6"/>
    <w:rsid w:val="5F093C78"/>
    <w:rsid w:val="5F5A1107"/>
    <w:rsid w:val="5F7E1BB9"/>
    <w:rsid w:val="5F831A12"/>
    <w:rsid w:val="5FB95F86"/>
    <w:rsid w:val="601163AE"/>
    <w:rsid w:val="6048573D"/>
    <w:rsid w:val="60FF5FDD"/>
    <w:rsid w:val="617E5460"/>
    <w:rsid w:val="61E02C8B"/>
    <w:rsid w:val="625323D6"/>
    <w:rsid w:val="62547A4D"/>
    <w:rsid w:val="62813E61"/>
    <w:rsid w:val="6300246C"/>
    <w:rsid w:val="638239E5"/>
    <w:rsid w:val="638C3D00"/>
    <w:rsid w:val="63E10B0C"/>
    <w:rsid w:val="63F3279C"/>
    <w:rsid w:val="640059A5"/>
    <w:rsid w:val="640612C6"/>
    <w:rsid w:val="647A6E52"/>
    <w:rsid w:val="64EE5D8F"/>
    <w:rsid w:val="6500065A"/>
    <w:rsid w:val="6537764C"/>
    <w:rsid w:val="65E578BD"/>
    <w:rsid w:val="666A4D62"/>
    <w:rsid w:val="668A5EDC"/>
    <w:rsid w:val="66927680"/>
    <w:rsid w:val="66D06442"/>
    <w:rsid w:val="67180D7A"/>
    <w:rsid w:val="6756300A"/>
    <w:rsid w:val="67663F7B"/>
    <w:rsid w:val="6792245C"/>
    <w:rsid w:val="67AC56C6"/>
    <w:rsid w:val="6801069F"/>
    <w:rsid w:val="680F265C"/>
    <w:rsid w:val="687D6CC8"/>
    <w:rsid w:val="68BA7C55"/>
    <w:rsid w:val="68E66C0F"/>
    <w:rsid w:val="690A7BA1"/>
    <w:rsid w:val="69113DCA"/>
    <w:rsid w:val="69130912"/>
    <w:rsid w:val="69CB77D8"/>
    <w:rsid w:val="69D6627D"/>
    <w:rsid w:val="6A0665BA"/>
    <w:rsid w:val="6A323B2C"/>
    <w:rsid w:val="6A524C0E"/>
    <w:rsid w:val="6AC33480"/>
    <w:rsid w:val="6B1806CB"/>
    <w:rsid w:val="6C2646D1"/>
    <w:rsid w:val="6C5A3FCD"/>
    <w:rsid w:val="6C721C9A"/>
    <w:rsid w:val="6C942E03"/>
    <w:rsid w:val="6CB62996"/>
    <w:rsid w:val="6D731B27"/>
    <w:rsid w:val="6D76258B"/>
    <w:rsid w:val="6E7050A9"/>
    <w:rsid w:val="6E7A59CD"/>
    <w:rsid w:val="6E9610D2"/>
    <w:rsid w:val="6ECD36FF"/>
    <w:rsid w:val="6F1957D5"/>
    <w:rsid w:val="70254438"/>
    <w:rsid w:val="705F434B"/>
    <w:rsid w:val="70810F1E"/>
    <w:rsid w:val="71754C6E"/>
    <w:rsid w:val="71DB6825"/>
    <w:rsid w:val="72014BAF"/>
    <w:rsid w:val="7275613E"/>
    <w:rsid w:val="72A04A1F"/>
    <w:rsid w:val="72F24D9D"/>
    <w:rsid w:val="733275F5"/>
    <w:rsid w:val="738026E3"/>
    <w:rsid w:val="73A979E7"/>
    <w:rsid w:val="73F31987"/>
    <w:rsid w:val="74104D2B"/>
    <w:rsid w:val="7432739D"/>
    <w:rsid w:val="744F4674"/>
    <w:rsid w:val="747927C4"/>
    <w:rsid w:val="74F11C15"/>
    <w:rsid w:val="754B170B"/>
    <w:rsid w:val="755146AE"/>
    <w:rsid w:val="756F7B86"/>
    <w:rsid w:val="75915D7B"/>
    <w:rsid w:val="759F6029"/>
    <w:rsid w:val="75A82AC5"/>
    <w:rsid w:val="75CA36CA"/>
    <w:rsid w:val="763955BF"/>
    <w:rsid w:val="773A01B0"/>
    <w:rsid w:val="779A49A3"/>
    <w:rsid w:val="77BF6833"/>
    <w:rsid w:val="77FC16E5"/>
    <w:rsid w:val="78810DF7"/>
    <w:rsid w:val="78BC4EF9"/>
    <w:rsid w:val="78C17088"/>
    <w:rsid w:val="78C82F23"/>
    <w:rsid w:val="78FE0A2F"/>
    <w:rsid w:val="792F0912"/>
    <w:rsid w:val="7A7C11A9"/>
    <w:rsid w:val="7A895DC7"/>
    <w:rsid w:val="7AC47EB7"/>
    <w:rsid w:val="7B4B68E6"/>
    <w:rsid w:val="7B5E04A9"/>
    <w:rsid w:val="7BE41421"/>
    <w:rsid w:val="7C073518"/>
    <w:rsid w:val="7C4079FA"/>
    <w:rsid w:val="7C8F2CF0"/>
    <w:rsid w:val="7F270D2A"/>
    <w:rsid w:val="7FD46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仿宋_GB2312" w:hAnsi="仿宋_GB2312" w:eastAsia="仿宋_GB2312" w:cs="Times New Roman"/>
      <w:kern w:val="2"/>
      <w:sz w:val="32"/>
      <w:szCs w:val="22"/>
      <w:lang w:val="en-US" w:eastAsia="zh-CN" w:bidi="ar-SA"/>
    </w:rPr>
  </w:style>
  <w:style w:type="paragraph" w:styleId="3">
    <w:name w:val="heading 1"/>
    <w:basedOn w:val="1"/>
    <w:next w:val="1"/>
    <w:qFormat/>
    <w:uiPriority w:val="0"/>
    <w:pPr>
      <w:keepNext/>
      <w:keepLines/>
      <w:spacing w:line="240" w:lineRule="auto"/>
      <w:outlineLvl w:val="0"/>
    </w:pPr>
    <w:rPr>
      <w:rFonts w:ascii="黑体" w:hAnsi="黑体" w:eastAsia="黑体"/>
      <w:kern w:val="44"/>
    </w:rPr>
  </w:style>
  <w:style w:type="paragraph" w:styleId="4">
    <w:name w:val="heading 2"/>
    <w:basedOn w:val="1"/>
    <w:next w:val="1"/>
    <w:link w:val="19"/>
    <w:unhideWhenUsed/>
    <w:qFormat/>
    <w:uiPriority w:val="0"/>
    <w:pPr>
      <w:keepNext/>
      <w:keepLines/>
      <w:spacing w:line="240" w:lineRule="auto"/>
      <w:outlineLvl w:val="1"/>
    </w:pPr>
    <w:rPr>
      <w:rFonts w:ascii="楷体" w:hAnsi="楷体" w:eastAsia="楷体" w:cstheme="majorBidi"/>
      <w:b/>
      <w:bCs/>
      <w:szCs w:val="32"/>
    </w:rPr>
  </w:style>
  <w:style w:type="paragraph" w:styleId="2">
    <w:name w:val="heading 3"/>
    <w:basedOn w:val="1"/>
    <w:next w:val="1"/>
    <w:link w:val="2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qFormat/>
    <w:uiPriority w:val="0"/>
    <w:rPr>
      <w:sz w:val="28"/>
    </w:rPr>
  </w:style>
  <w:style w:type="paragraph" w:styleId="6">
    <w:name w:val="Body Text Indent"/>
    <w:basedOn w:val="1"/>
    <w:qFormat/>
    <w:uiPriority w:val="0"/>
    <w:pPr>
      <w:spacing w:before="120" w:after="120"/>
      <w:ind w:firstLine="480"/>
    </w:pPr>
    <w:rPr>
      <w:rFonts w:ascii="宋体" w:hAnsi="宋体"/>
      <w:sz w:val="24"/>
      <w:szCs w:val="20"/>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0">
    <w:name w:val="Body Text First Indent"/>
    <w:basedOn w:val="5"/>
    <w:qFormat/>
    <w:uiPriority w:val="0"/>
    <w:pPr>
      <w:ind w:firstLine="420" w:firstLineChars="100"/>
    </w:pPr>
  </w:style>
  <w:style w:type="paragraph" w:styleId="11">
    <w:name w:val="Body Text First Indent 2"/>
    <w:basedOn w:val="6"/>
    <w:next w:val="10"/>
    <w:qFormat/>
    <w:uiPriority w:val="0"/>
    <w:pPr>
      <w:spacing w:before="0"/>
      <w:ind w:left="420" w:leftChars="200" w:firstLine="420"/>
    </w:p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8"/>
    <w:qFormat/>
    <w:uiPriority w:val="0"/>
    <w:rPr>
      <w:rFonts w:ascii="Calibri" w:hAnsi="Calibri" w:eastAsia="仿宋_GB2312"/>
      <w:kern w:val="2"/>
      <w:sz w:val="18"/>
      <w:szCs w:val="18"/>
    </w:rPr>
  </w:style>
  <w:style w:type="character" w:customStyle="1" w:styleId="18">
    <w:name w:val="页脚 字符"/>
    <w:basedOn w:val="13"/>
    <w:link w:val="7"/>
    <w:qFormat/>
    <w:uiPriority w:val="0"/>
    <w:rPr>
      <w:rFonts w:ascii="Calibri" w:hAnsi="Calibri" w:eastAsia="仿宋_GB2312"/>
      <w:kern w:val="2"/>
      <w:sz w:val="18"/>
      <w:szCs w:val="18"/>
    </w:rPr>
  </w:style>
  <w:style w:type="character" w:customStyle="1" w:styleId="19">
    <w:name w:val="标题 2 字符"/>
    <w:basedOn w:val="13"/>
    <w:link w:val="4"/>
    <w:semiHidden/>
    <w:qFormat/>
    <w:uiPriority w:val="0"/>
    <w:rPr>
      <w:rFonts w:ascii="楷体" w:hAnsi="楷体" w:eastAsia="楷体"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2"/>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9</Pages>
  <Words>4060</Words>
  <Characters>4328</Characters>
  <Lines>28</Lines>
  <Paragraphs>8</Paragraphs>
  <TotalTime>23</TotalTime>
  <ScaleCrop>false</ScaleCrop>
  <LinksUpToDate>false</LinksUpToDate>
  <CharactersWithSpaces>4365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2020-12-18T06:54:00Z</dcterms:created>
  <dc:creator>zhenyongwen</dc:creator>
  <cp:lastModifiedBy>甄咏文</cp:lastModifiedBy>
  <dcterms:modified xsi:type="dcterms:W3CDTF">2022-10-18T07:48:02Z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88FF1BA1B63C4FB290B914773FB97721</vt:lpwstr>
  </property>
  <property fmtid="{D5CDD505-2E9C-101B-9397-08002B2CF9AE}" pid="4" name="commondata">
    <vt:lpwstr>eyJoZGlkIjoiMzFkNWY3MDE3M2RiODhiZTRhOWM0N2VmNTEzZWI5MGUifQ==</vt:lpwstr>
  </property>
</Properties>
</file>