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方正小标宋简体"/>
          <w:bCs/>
          <w:sz w:val="32"/>
          <w:szCs w:val="32"/>
          <w:lang w:eastAsia="zh-CN"/>
        </w:rPr>
      </w:pPr>
      <w:bookmarkStart w:id="0" w:name="_GoBack"/>
      <w:bookmarkEnd w:id="0"/>
      <w:r>
        <w:rPr>
          <w:rFonts w:hint="eastAsia" w:ascii="黑体" w:hAnsi="黑体" w:eastAsia="黑体" w:cs="方正小标宋简体"/>
          <w:bCs/>
          <w:sz w:val="32"/>
          <w:szCs w:val="32"/>
        </w:rPr>
        <w:t>附件</w:t>
      </w:r>
      <w:r>
        <w:rPr>
          <w:rFonts w:hint="eastAsia" w:ascii="黑体" w:hAnsi="黑体" w:eastAsia="黑体" w:cs="方正小标宋简体"/>
          <w:bCs/>
          <w:sz w:val="32"/>
          <w:szCs w:val="32"/>
          <w:lang w:val="en-US" w:eastAsia="zh-CN"/>
        </w:rPr>
        <w:t>4</w:t>
      </w:r>
    </w:p>
    <w:p>
      <w:pPr>
        <w:spacing w:line="560" w:lineRule="exact"/>
        <w:jc w:val="left"/>
        <w:rPr>
          <w:rFonts w:hint="eastAsia" w:ascii="黑体" w:hAnsi="黑体" w:eastAsia="黑体" w:cs="方正小标宋简体"/>
          <w:bCs/>
          <w:sz w:val="32"/>
          <w:szCs w:val="32"/>
        </w:rPr>
      </w:pPr>
    </w:p>
    <w:p>
      <w:pPr>
        <w:spacing w:line="560" w:lineRule="exact"/>
        <w:jc w:val="center"/>
        <w:rPr>
          <w:rFonts w:ascii="方正小标宋简体" w:eastAsia="方正小标宋简体"/>
          <w:spacing w:val="-6"/>
          <w:sz w:val="44"/>
          <w:szCs w:val="44"/>
        </w:rPr>
      </w:pPr>
      <w:r>
        <w:rPr>
          <w:rFonts w:hint="eastAsia" w:ascii="方正小标宋简体" w:eastAsia="方正小标宋简体"/>
          <w:spacing w:val="-6"/>
          <w:sz w:val="44"/>
          <w:szCs w:val="44"/>
        </w:rPr>
        <w:t>202</w:t>
      </w:r>
      <w:r>
        <w:rPr>
          <w:rFonts w:ascii="方正小标宋简体" w:eastAsia="方正小标宋简体"/>
          <w:spacing w:val="-6"/>
          <w:sz w:val="44"/>
          <w:szCs w:val="44"/>
          <w:lang w:val="en"/>
        </w:rPr>
        <w:t>2</w:t>
      </w:r>
      <w:r>
        <w:rPr>
          <w:rFonts w:hint="eastAsia" w:ascii="方正小标宋简体" w:eastAsia="方正小标宋简体"/>
          <w:spacing w:val="-6"/>
          <w:sz w:val="44"/>
          <w:szCs w:val="44"/>
        </w:rPr>
        <w:t>年度国家知识产权局专利专项研究项目申报指南</w:t>
      </w:r>
    </w:p>
    <w:p>
      <w:pPr>
        <w:spacing w:line="560" w:lineRule="exact"/>
        <w:ind w:firstLine="640" w:firstLineChars="200"/>
        <w:rPr>
          <w:rFonts w:ascii="仿宋_GB2312" w:hAnsi="宋体" w:eastAsia="仿宋_GB2312" w:cs="宋体"/>
          <w:sz w:val="32"/>
          <w:szCs w:val="32"/>
        </w:rPr>
      </w:pPr>
    </w:p>
    <w:p>
      <w:pPr>
        <w:spacing w:line="560" w:lineRule="exact"/>
        <w:ind w:firstLine="640" w:firstLineChars="200"/>
        <w:rPr>
          <w:rFonts w:ascii="黑体" w:hAnsi="宋体" w:eastAsia="黑体" w:cs="宋体"/>
          <w:sz w:val="32"/>
          <w:szCs w:val="32"/>
        </w:rPr>
      </w:pPr>
      <w:r>
        <w:rPr>
          <w:rFonts w:hint="eastAsia" w:ascii="黑体" w:hAnsi="宋体" w:eastAsia="黑体" w:cs="宋体"/>
          <w:sz w:val="32"/>
          <w:szCs w:val="32"/>
        </w:rPr>
        <w:t>一、总体目标</w:t>
      </w:r>
    </w:p>
    <w:p>
      <w:pPr>
        <w:spacing w:line="560" w:lineRule="exact"/>
        <w:ind w:firstLine="640" w:firstLineChars="200"/>
        <w:rPr>
          <w:rFonts w:ascii="仿宋_GB2312" w:hAnsi="Times New Roman" w:eastAsia="仿宋_GB2312"/>
          <w:sz w:val="32"/>
          <w:szCs w:val="32"/>
        </w:rPr>
      </w:pPr>
      <w:r>
        <w:rPr>
          <w:rFonts w:hint="eastAsia" w:ascii="仿宋_GB2312" w:hAnsi="宋体" w:eastAsia="仿宋_GB2312" w:cs="宋体"/>
          <w:sz w:val="32"/>
          <w:szCs w:val="32"/>
        </w:rPr>
        <w:t>以习近平新时代中国特色社会主义思想为指导，贯彻落实</w:t>
      </w:r>
      <w:r>
        <w:rPr>
          <w:rFonts w:hint="eastAsia" w:ascii="仿宋_GB2312" w:hAnsi="仿宋_GB2312" w:eastAsia="仿宋_GB2312" w:cs="仿宋_GB2312"/>
          <w:sz w:val="32"/>
          <w:szCs w:val="32"/>
        </w:rPr>
        <w:t>党中央、国务院</w:t>
      </w:r>
      <w:r>
        <w:rPr>
          <w:rFonts w:hint="eastAsia" w:ascii="仿宋_GB2312" w:hAnsi="宋体" w:eastAsia="仿宋_GB2312" w:cs="宋体"/>
          <w:sz w:val="32"/>
          <w:szCs w:val="32"/>
        </w:rPr>
        <w:t>关于全面加强知识产权保护，</w:t>
      </w:r>
      <w:r>
        <w:rPr>
          <w:rFonts w:hint="eastAsia" w:ascii="仿宋_GB2312" w:hAnsi="仿宋_GB2312" w:eastAsia="仿宋_GB2312" w:cs="仿宋_GB2312"/>
          <w:sz w:val="32"/>
          <w:szCs w:val="32"/>
        </w:rPr>
        <w:t>提高知识产权审查质量和效率的</w:t>
      </w:r>
      <w:r>
        <w:rPr>
          <w:rFonts w:hint="eastAsia" w:ascii="仿宋_GB2312" w:hAnsi="仿宋_GB2312" w:eastAsia="仿宋_GB2312" w:cs="仿宋_GB2312"/>
          <w:sz w:val="32"/>
          <w:szCs w:val="32"/>
          <w:lang w:eastAsia="zh-CN"/>
        </w:rPr>
        <w:t>决策部署</w:t>
      </w:r>
      <w:r>
        <w:rPr>
          <w:rFonts w:hint="eastAsia" w:ascii="仿宋_GB2312" w:hAnsi="仿宋_GB2312" w:eastAsia="仿宋_GB2312" w:cs="仿宋_GB2312"/>
          <w:sz w:val="32"/>
          <w:szCs w:val="32"/>
        </w:rPr>
        <w:t>，支撑《知识产权强国建设纲要（2021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2035 年）》和《“十四五”国家知识产权保护和运用规划》重大任务落实，</w:t>
      </w:r>
      <w:r>
        <w:rPr>
          <w:rFonts w:hint="eastAsia" w:ascii="仿宋_GB2312" w:hAnsi="宋体" w:eastAsia="仿宋_GB2312" w:cs="宋体"/>
          <w:sz w:val="32"/>
          <w:szCs w:val="32"/>
        </w:rPr>
        <w:t>坚持以国家需求和用户满意为导向，以全面加强知识产权保护为主线，</w:t>
      </w:r>
      <w:r>
        <w:rPr>
          <w:rFonts w:hint="eastAsia" w:ascii="仿宋_GB2312" w:hAnsi="Times New Roman" w:eastAsia="仿宋_GB2312"/>
          <w:sz w:val="32"/>
          <w:szCs w:val="32"/>
        </w:rPr>
        <w:t>围绕新发展阶段专利事业发展重点、难点、热点问题，以及</w:t>
      </w:r>
      <w:r>
        <w:rPr>
          <w:rFonts w:hint="eastAsia" w:ascii="仿宋_GB2312" w:hAnsi="宋体" w:eastAsia="仿宋_GB2312" w:cs="宋体"/>
          <w:sz w:val="32"/>
          <w:szCs w:val="32"/>
        </w:rPr>
        <w:t>国家</w:t>
      </w:r>
      <w:r>
        <w:rPr>
          <w:rFonts w:hint="eastAsia" w:ascii="仿宋_GB2312" w:hAnsi="Times New Roman" w:eastAsia="仿宋_GB2312"/>
          <w:sz w:val="32"/>
          <w:szCs w:val="32"/>
        </w:rPr>
        <w:t>关键核心技术领域开展研究，</w:t>
      </w:r>
      <w:r>
        <w:rPr>
          <w:rFonts w:hint="eastAsia" w:ascii="仿宋_GB2312" w:hAnsi="宋体" w:eastAsia="仿宋_GB2312" w:cs="宋体"/>
          <w:sz w:val="32"/>
          <w:szCs w:val="32"/>
        </w:rPr>
        <w:t>着力形成一批高价值的研究成果，为扎实推进知识产权事业高质量发展，服务经济社会，</w:t>
      </w:r>
      <w:r>
        <w:rPr>
          <w:rFonts w:hint="eastAsia" w:ascii="仿宋_GB2312" w:hAnsi="Times New Roman" w:eastAsia="仿宋_GB2312"/>
          <w:sz w:val="32"/>
          <w:szCs w:val="32"/>
        </w:rPr>
        <w:t>推动知识产权强国建设提供有力支撑。</w:t>
      </w:r>
    </w:p>
    <w:p>
      <w:pPr>
        <w:spacing w:line="560" w:lineRule="exact"/>
        <w:ind w:firstLine="640" w:firstLineChars="200"/>
        <w:rPr>
          <w:rFonts w:ascii="黑体" w:hAnsi="宋体" w:eastAsia="黑体" w:cs="宋体"/>
          <w:sz w:val="32"/>
          <w:szCs w:val="32"/>
        </w:rPr>
      </w:pPr>
      <w:r>
        <w:rPr>
          <w:rFonts w:hint="eastAsia" w:ascii="黑体" w:hAnsi="宋体" w:eastAsia="黑体" w:cs="宋体"/>
          <w:sz w:val="32"/>
          <w:szCs w:val="32"/>
        </w:rPr>
        <w:t>二、申报要求</w:t>
      </w:r>
    </w:p>
    <w:p>
      <w:pPr>
        <w:spacing w:line="560" w:lineRule="exact"/>
        <w:ind w:firstLine="616" w:firstLineChars="200"/>
        <w:rPr>
          <w:rFonts w:hint="eastAsia" w:ascii="仿宋_GB2312" w:hAnsi="宋体" w:eastAsia="仿宋_GB2312" w:cs="宋体"/>
          <w:spacing w:val="-6"/>
          <w:sz w:val="32"/>
          <w:szCs w:val="32"/>
        </w:rPr>
      </w:pPr>
      <w:r>
        <w:rPr>
          <w:rFonts w:hint="eastAsia" w:ascii="仿宋_GB2312" w:hAnsi="宋体" w:eastAsia="仿宋_GB2312" w:cs="宋体"/>
          <w:spacing w:val="-6"/>
          <w:sz w:val="32"/>
          <w:szCs w:val="32"/>
        </w:rPr>
        <w:t>（一）可3家单位/部门（不超过3家）共同申报，但须确定一家牵头单位。牵头单位需具备独立法人资格，党政机关不得作为牵头单位。</w:t>
      </w:r>
    </w:p>
    <w:p>
      <w:pPr>
        <w:spacing w:line="560" w:lineRule="exact"/>
        <w:ind w:firstLine="608" w:firstLineChars="200"/>
        <w:rPr>
          <w:rFonts w:ascii="仿宋_GB2312" w:hAnsi="Times New Roman" w:eastAsia="仿宋_GB2312"/>
          <w:sz w:val="32"/>
          <w:szCs w:val="32"/>
        </w:rPr>
      </w:pPr>
      <w:r>
        <w:rPr>
          <w:rFonts w:hint="eastAsia" w:ascii="仿宋_GB2312" w:hAnsi="宋体" w:eastAsia="仿宋_GB2312" w:cs="宋体"/>
          <w:spacing w:val="-8"/>
          <w:sz w:val="32"/>
          <w:szCs w:val="32"/>
        </w:rPr>
        <w:t>（二）</w:t>
      </w:r>
      <w:r>
        <w:rPr>
          <w:rFonts w:hint="eastAsia" w:ascii="仿宋_GB2312" w:hAnsi="Times New Roman" w:eastAsia="仿宋_GB2312"/>
          <w:sz w:val="32"/>
          <w:szCs w:val="32"/>
        </w:rPr>
        <w:t>课题研究人员总人数为10-15人，研究人员原则上应具备5年以上工作经验或3年以上研究经验。</w:t>
      </w:r>
    </w:p>
    <w:p>
      <w:pPr>
        <w:spacing w:line="560" w:lineRule="exact"/>
        <w:ind w:firstLine="608" w:firstLineChars="200"/>
        <w:rPr>
          <w:rFonts w:ascii="仿宋_GB2312" w:hAnsi="Times New Roman" w:eastAsia="仿宋_GB2312"/>
          <w:sz w:val="32"/>
          <w:szCs w:val="32"/>
        </w:rPr>
      </w:pPr>
      <w:r>
        <w:rPr>
          <w:rFonts w:hint="eastAsia" w:ascii="仿宋_GB2312" w:hAnsi="宋体" w:eastAsia="仿宋_GB2312" w:cs="宋体"/>
          <w:spacing w:val="-8"/>
          <w:sz w:val="32"/>
          <w:szCs w:val="32"/>
        </w:rPr>
        <w:t>（三）申报</w:t>
      </w:r>
      <w:r>
        <w:rPr>
          <w:rFonts w:hint="eastAsia" w:ascii="仿宋_GB2312" w:hAnsi="宋体" w:eastAsia="仿宋_GB2312" w:cs="宋体"/>
          <w:spacing w:val="-6"/>
          <w:sz w:val="32"/>
          <w:szCs w:val="32"/>
        </w:rPr>
        <w:t>单位/部门</w:t>
      </w:r>
      <w:r>
        <w:rPr>
          <w:rFonts w:hint="eastAsia" w:ascii="仿宋_GB2312" w:hAnsi="宋体" w:eastAsia="仿宋_GB2312" w:cs="宋体"/>
          <w:spacing w:val="-8"/>
          <w:sz w:val="32"/>
          <w:szCs w:val="32"/>
        </w:rPr>
        <w:t>要</w:t>
      </w:r>
      <w:r>
        <w:rPr>
          <w:rFonts w:hint="eastAsia" w:ascii="仿宋_GB2312" w:hAnsi="Times New Roman" w:eastAsia="仿宋_GB2312"/>
          <w:sz w:val="32"/>
          <w:szCs w:val="32"/>
        </w:rPr>
        <w:t>根据本指南的重点方向，结合研究积累和工作实际，可自选角度、自拟题目进行申报。选题要强化问题导向，聚焦关键点，紧跟知识产权事业发展的新进展，体现研究的前瞻性、针对性和实用性。</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（四）对于关键核心技术专利分析类课题，申报单位/部门应当具备专利分析研究经验。</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（五）项目研究时间为</w:t>
      </w:r>
      <w:r>
        <w:rPr>
          <w:rFonts w:ascii="仿宋_GB2312" w:hAnsi="宋体" w:eastAsia="仿宋_GB2312" w:cs="宋体"/>
          <w:sz w:val="32"/>
          <w:szCs w:val="32"/>
          <w:lang w:val="en"/>
        </w:rPr>
        <w:t>6</w:t>
      </w:r>
      <w:r>
        <w:rPr>
          <w:rFonts w:hint="eastAsia" w:ascii="仿宋_GB2312" w:hAnsi="宋体" w:eastAsia="仿宋_GB2312" w:cs="宋体"/>
          <w:sz w:val="32"/>
          <w:szCs w:val="32"/>
        </w:rPr>
        <w:t>-8个月。</w:t>
      </w:r>
    </w:p>
    <w:p>
      <w:pPr>
        <w:spacing w:line="560" w:lineRule="exact"/>
        <w:ind w:firstLine="640" w:firstLineChars="200"/>
        <w:rPr>
          <w:rFonts w:ascii="黑体" w:hAnsi="宋体" w:eastAsia="黑体" w:cs="宋体"/>
          <w:sz w:val="32"/>
          <w:szCs w:val="32"/>
        </w:rPr>
      </w:pPr>
      <w:r>
        <w:rPr>
          <w:rFonts w:hint="eastAsia" w:ascii="黑体" w:hAnsi="宋体" w:eastAsia="黑体" w:cs="宋体"/>
          <w:sz w:val="32"/>
          <w:szCs w:val="32"/>
        </w:rPr>
        <w:t>三、重点方向</w:t>
      </w:r>
    </w:p>
    <w:p>
      <w:pPr>
        <w:spacing w:line="560" w:lineRule="exact"/>
        <w:ind w:firstLine="642" w:firstLineChars="200"/>
        <w:rPr>
          <w:rFonts w:ascii="楷体_GB2312" w:hAnsi="宋体" w:eastAsia="楷体_GB2312" w:cs="宋体"/>
          <w:b/>
          <w:sz w:val="32"/>
          <w:szCs w:val="32"/>
        </w:rPr>
      </w:pPr>
      <w:r>
        <w:rPr>
          <w:rFonts w:hint="eastAsia" w:ascii="楷体_GB2312" w:hAnsi="宋体" w:eastAsia="楷体_GB2312" w:cs="宋体"/>
          <w:b/>
          <w:sz w:val="32"/>
          <w:szCs w:val="32"/>
        </w:rPr>
        <w:t>（一）专利制度理论与实践类</w:t>
      </w:r>
    </w:p>
    <w:p>
      <w:pPr>
        <w:spacing w:line="560" w:lineRule="exact"/>
        <w:ind w:firstLine="642" w:firstLineChars="200"/>
        <w:rPr>
          <w:rFonts w:hint="eastAsia" w:ascii="楷体_GB2312" w:hAnsi="宋体" w:eastAsia="楷体_GB2312" w:cs="宋体"/>
          <w:b/>
          <w:sz w:val="32"/>
          <w:szCs w:val="32"/>
        </w:rPr>
      </w:pPr>
      <w:r>
        <w:rPr>
          <w:rFonts w:hint="eastAsia" w:ascii="楷体_GB2312" w:hAnsi="宋体" w:eastAsia="楷体_GB2312" w:cs="宋体"/>
          <w:b/>
          <w:sz w:val="32"/>
          <w:szCs w:val="32"/>
        </w:rPr>
        <w:t>1.</w:t>
      </w:r>
      <w:r>
        <w:rPr>
          <w:rFonts w:hint="eastAsia" w:ascii="楷体_GB2312" w:hAnsi="宋体" w:eastAsia="楷体_GB2312" w:cs="宋体"/>
          <w:b/>
          <w:sz w:val="32"/>
          <w:szCs w:val="32"/>
          <w:lang w:val="en-US" w:eastAsia="zh-CN"/>
        </w:rPr>
        <w:t xml:space="preserve"> </w:t>
      </w:r>
      <w:r>
        <w:rPr>
          <w:rFonts w:hint="eastAsia" w:ascii="楷体_GB2312" w:hAnsi="宋体" w:eastAsia="楷体_GB2312" w:cs="宋体"/>
          <w:b/>
          <w:sz w:val="32"/>
          <w:szCs w:val="32"/>
        </w:rPr>
        <w:t>专利法律制度与重大理论研究</w:t>
      </w:r>
    </w:p>
    <w:p>
      <w:pPr>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（1）实用新型制度完善与改革研究</w:t>
      </w:r>
    </w:p>
    <w:p>
      <w:pPr>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（2）外观设计制度改革研究</w:t>
      </w:r>
    </w:p>
    <w:p>
      <w:pPr>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（3）适应技术发展需要的专利保护客体研究</w:t>
      </w:r>
    </w:p>
    <w:p>
      <w:pPr>
        <w:spacing w:line="560" w:lineRule="exact"/>
        <w:ind w:firstLine="642" w:firstLineChars="200"/>
        <w:rPr>
          <w:rFonts w:hint="eastAsia" w:ascii="楷体_GB2312" w:hAnsi="宋体" w:eastAsia="楷体_GB2312" w:cs="宋体"/>
          <w:b/>
          <w:sz w:val="32"/>
          <w:szCs w:val="32"/>
        </w:rPr>
      </w:pPr>
      <w:r>
        <w:rPr>
          <w:rFonts w:hint="eastAsia" w:ascii="楷体_GB2312" w:hAnsi="宋体" w:eastAsia="楷体_GB2312" w:cs="宋体"/>
          <w:b/>
          <w:sz w:val="32"/>
          <w:szCs w:val="32"/>
        </w:rPr>
        <w:t>2.</w:t>
      </w:r>
      <w:r>
        <w:rPr>
          <w:rFonts w:hint="eastAsia" w:ascii="楷体_GB2312" w:hAnsi="宋体" w:eastAsia="楷体_GB2312" w:cs="宋体"/>
          <w:b/>
          <w:sz w:val="32"/>
          <w:szCs w:val="32"/>
          <w:lang w:val="en-US" w:eastAsia="zh-CN"/>
        </w:rPr>
        <w:t xml:space="preserve"> </w:t>
      </w:r>
      <w:r>
        <w:rPr>
          <w:rFonts w:hint="eastAsia" w:ascii="楷体_GB2312" w:hAnsi="宋体" w:eastAsia="楷体_GB2312" w:cs="宋体"/>
          <w:b/>
          <w:sz w:val="32"/>
          <w:szCs w:val="32"/>
        </w:rPr>
        <w:t>专利保护规则与审查标准研究</w:t>
      </w:r>
    </w:p>
    <w:p>
      <w:pPr>
        <w:spacing w:line="560" w:lineRule="exact"/>
        <w:ind w:firstLine="640" w:firstLineChars="200"/>
        <w:outlineLvl w:val="0"/>
        <w:rPr>
          <w:rFonts w:hint="eastAsia" w:ascii="仿宋_GB2312" w:hAnsi="Times New Roman" w:eastAsia="仿宋_GB2312"/>
          <w:sz w:val="32"/>
          <w:szCs w:val="32"/>
        </w:rPr>
      </w:pPr>
      <w:r>
        <w:rPr>
          <w:rFonts w:hint="eastAsia" w:ascii="仿宋_GB2312" w:hAnsi="Times New Roman" w:eastAsia="仿宋_GB2312"/>
          <w:sz w:val="32"/>
          <w:szCs w:val="32"/>
        </w:rPr>
        <w:t>（</w:t>
      </w:r>
      <w:r>
        <w:rPr>
          <w:rFonts w:ascii="仿宋_GB2312" w:hAnsi="Times New Roman" w:eastAsia="仿宋_GB2312"/>
          <w:sz w:val="32"/>
          <w:szCs w:val="32"/>
          <w:lang w:val="en"/>
        </w:rPr>
        <w:t>4</w:t>
      </w:r>
      <w:r>
        <w:rPr>
          <w:rFonts w:hint="eastAsia" w:ascii="仿宋_GB2312" w:hAnsi="Times New Roman" w:eastAsia="仿宋_GB2312"/>
          <w:sz w:val="32"/>
          <w:szCs w:val="32"/>
        </w:rPr>
        <w:t>）大数据、人工智能、区块链、基因技术等新技术、新产业、新业态、新模式专利保护规则和审查标准研究</w:t>
      </w:r>
    </w:p>
    <w:p>
      <w:pPr>
        <w:spacing w:line="560" w:lineRule="exact"/>
        <w:ind w:firstLine="640" w:firstLineChars="200"/>
        <w:outlineLvl w:val="0"/>
        <w:rPr>
          <w:rFonts w:hint="eastAsia" w:ascii="仿宋_GB2312" w:hAnsi="Times New Roman" w:eastAsia="仿宋_GB2312"/>
          <w:sz w:val="32"/>
          <w:szCs w:val="32"/>
        </w:rPr>
      </w:pPr>
      <w:r>
        <w:rPr>
          <w:rFonts w:hint="eastAsia" w:ascii="仿宋_GB2312" w:hAnsi="Times New Roman" w:eastAsia="仿宋_GB2312"/>
          <w:sz w:val="32"/>
          <w:szCs w:val="32"/>
        </w:rPr>
        <w:t>（</w:t>
      </w:r>
      <w:r>
        <w:rPr>
          <w:rFonts w:ascii="仿宋_GB2312" w:hAnsi="Times New Roman" w:eastAsia="仿宋_GB2312"/>
          <w:sz w:val="32"/>
          <w:szCs w:val="32"/>
          <w:lang w:val="en"/>
        </w:rPr>
        <w:t>5</w:t>
      </w:r>
      <w:r>
        <w:rPr>
          <w:rFonts w:hint="eastAsia" w:ascii="仿宋_GB2312" w:hAnsi="Times New Roman" w:eastAsia="仿宋_GB2312"/>
          <w:sz w:val="32"/>
          <w:szCs w:val="32"/>
        </w:rPr>
        <w:t>）实用新型明显创造性审查标准适用研究</w:t>
      </w:r>
    </w:p>
    <w:p>
      <w:pPr>
        <w:spacing w:line="560" w:lineRule="exact"/>
        <w:ind w:firstLine="640" w:firstLineChars="200"/>
        <w:outlineLvl w:val="0"/>
        <w:rPr>
          <w:rFonts w:hint="eastAsia" w:ascii="仿宋_GB2312" w:hAnsi="Times New Roman" w:eastAsia="仿宋_GB2312"/>
          <w:sz w:val="32"/>
          <w:szCs w:val="32"/>
        </w:rPr>
      </w:pPr>
      <w:r>
        <w:rPr>
          <w:rFonts w:hint="eastAsia" w:ascii="仿宋_GB2312" w:hAnsi="Times New Roman" w:eastAsia="仿宋_GB2312"/>
          <w:sz w:val="32"/>
          <w:szCs w:val="32"/>
        </w:rPr>
        <w:t>（</w:t>
      </w:r>
      <w:r>
        <w:rPr>
          <w:rFonts w:ascii="仿宋_GB2312" w:hAnsi="Times New Roman" w:eastAsia="仿宋_GB2312"/>
          <w:sz w:val="32"/>
          <w:szCs w:val="32"/>
          <w:lang w:val="en"/>
        </w:rPr>
        <w:t>6</w:t>
      </w:r>
      <w:r>
        <w:rPr>
          <w:rFonts w:hint="eastAsia" w:ascii="仿宋_GB2312" w:hAnsi="Times New Roman" w:eastAsia="仿宋_GB2312"/>
          <w:sz w:val="32"/>
          <w:szCs w:val="32"/>
        </w:rPr>
        <w:t>）算法、生物育种</w:t>
      </w:r>
      <w:r>
        <w:rPr>
          <w:rFonts w:hint="eastAsia" w:ascii="仿宋_GB2312" w:hAnsi="Times New Roman" w:eastAsia="仿宋_GB2312"/>
          <w:iCs/>
          <w:sz w:val="32"/>
          <w:szCs w:val="32"/>
        </w:rPr>
        <w:t>、</w:t>
      </w:r>
      <w:r>
        <w:rPr>
          <w:rFonts w:hint="eastAsia" w:ascii="仿宋_GB2312" w:hAnsi="Times New Roman" w:eastAsia="仿宋_GB2312"/>
          <w:sz w:val="32"/>
          <w:szCs w:val="32"/>
        </w:rPr>
        <w:t>深地深海探测、生命健康</w:t>
      </w:r>
      <w:r>
        <w:rPr>
          <w:rFonts w:hint="eastAsia" w:ascii="仿宋_GB2312" w:hAnsi="Times New Roman" w:eastAsia="仿宋_GB2312"/>
          <w:iCs/>
          <w:sz w:val="32"/>
          <w:szCs w:val="32"/>
        </w:rPr>
        <w:t>等</w:t>
      </w:r>
      <w:r>
        <w:rPr>
          <w:rFonts w:hint="eastAsia" w:ascii="仿宋_GB2312" w:hAnsi="Times New Roman" w:eastAsia="仿宋_GB2312"/>
          <w:sz w:val="32"/>
          <w:szCs w:val="32"/>
        </w:rPr>
        <w:t>特定领域审查标准研究</w:t>
      </w:r>
    </w:p>
    <w:p>
      <w:pPr>
        <w:spacing w:line="560" w:lineRule="exact"/>
        <w:ind w:firstLine="640" w:firstLineChars="200"/>
        <w:outlineLvl w:val="0"/>
        <w:rPr>
          <w:rFonts w:hint="eastAsia" w:ascii="仿宋_GB2312" w:hAnsi="Times New Roman" w:eastAsia="仿宋_GB2312"/>
          <w:sz w:val="32"/>
          <w:szCs w:val="32"/>
        </w:rPr>
      </w:pPr>
      <w:r>
        <w:rPr>
          <w:rFonts w:hint="eastAsia" w:ascii="仿宋_GB2312" w:hAnsi="Times New Roman" w:eastAsia="仿宋_GB2312"/>
          <w:sz w:val="32"/>
          <w:szCs w:val="32"/>
        </w:rPr>
        <w:t>（</w:t>
      </w:r>
      <w:r>
        <w:rPr>
          <w:rFonts w:ascii="仿宋_GB2312" w:hAnsi="Times New Roman" w:eastAsia="仿宋_GB2312"/>
          <w:sz w:val="32"/>
          <w:szCs w:val="32"/>
          <w:lang w:val="en"/>
        </w:rPr>
        <w:t>7</w:t>
      </w:r>
      <w:r>
        <w:rPr>
          <w:rFonts w:hint="eastAsia" w:ascii="仿宋_GB2312" w:hAnsi="Times New Roman" w:eastAsia="仿宋_GB2312"/>
          <w:sz w:val="32"/>
          <w:szCs w:val="32"/>
        </w:rPr>
        <w:t>）</w:t>
      </w:r>
      <w:r>
        <w:rPr>
          <w:rFonts w:ascii="仿宋_GB2312" w:hAnsi="Times New Roman" w:eastAsia="仿宋_GB2312"/>
          <w:sz w:val="32"/>
          <w:szCs w:val="32"/>
        </w:rPr>
        <w:t>中医药领域专利审查和保护机制</w:t>
      </w:r>
      <w:r>
        <w:rPr>
          <w:rFonts w:hint="eastAsia" w:ascii="仿宋_GB2312" w:hAnsi="Times New Roman" w:eastAsia="仿宋_GB2312"/>
          <w:sz w:val="32"/>
          <w:szCs w:val="32"/>
        </w:rPr>
        <w:t>研究</w:t>
      </w:r>
    </w:p>
    <w:p>
      <w:pPr>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w:t>
      </w:r>
      <w:r>
        <w:rPr>
          <w:rFonts w:ascii="仿宋_GB2312" w:hAnsi="Times New Roman" w:eastAsia="仿宋_GB2312"/>
          <w:sz w:val="32"/>
          <w:szCs w:val="32"/>
          <w:lang w:val="en"/>
        </w:rPr>
        <w:t>8</w:t>
      </w:r>
      <w:r>
        <w:rPr>
          <w:rFonts w:hint="eastAsia" w:ascii="仿宋_GB2312" w:hAnsi="Times New Roman" w:eastAsia="仿宋_GB2312"/>
          <w:sz w:val="32"/>
          <w:szCs w:val="32"/>
        </w:rPr>
        <w:t>）重复授权、国内优先权、授权后文件修改等提高专利授权质量相关问题研究</w:t>
      </w:r>
    </w:p>
    <w:p>
      <w:pPr>
        <w:spacing w:line="560" w:lineRule="exact"/>
        <w:ind w:firstLine="642" w:firstLineChars="200"/>
        <w:rPr>
          <w:rFonts w:hint="eastAsia" w:ascii="楷体_GB2312" w:hAnsi="宋体" w:eastAsia="楷体_GB2312" w:cs="宋体"/>
          <w:b/>
          <w:sz w:val="32"/>
          <w:szCs w:val="32"/>
        </w:rPr>
      </w:pPr>
      <w:r>
        <w:rPr>
          <w:rFonts w:hint="eastAsia" w:ascii="楷体_GB2312" w:hAnsi="宋体" w:eastAsia="楷体_GB2312" w:cs="宋体"/>
          <w:b/>
          <w:sz w:val="32"/>
          <w:szCs w:val="32"/>
        </w:rPr>
        <w:t>3.</w:t>
      </w:r>
      <w:r>
        <w:rPr>
          <w:rFonts w:hint="eastAsia" w:ascii="楷体_GB2312" w:hAnsi="宋体" w:eastAsia="楷体_GB2312" w:cs="宋体"/>
          <w:b/>
          <w:sz w:val="32"/>
          <w:szCs w:val="32"/>
          <w:lang w:val="en-US" w:eastAsia="zh-CN"/>
        </w:rPr>
        <w:t xml:space="preserve"> </w:t>
      </w:r>
      <w:r>
        <w:rPr>
          <w:rFonts w:hint="eastAsia" w:ascii="楷体_GB2312" w:hAnsi="宋体" w:eastAsia="楷体_GB2312" w:cs="宋体"/>
          <w:b/>
          <w:sz w:val="32"/>
          <w:szCs w:val="32"/>
        </w:rPr>
        <w:t>专利审查政策与管理机制研究</w:t>
      </w:r>
    </w:p>
    <w:p>
      <w:pPr>
        <w:spacing w:line="560" w:lineRule="exact"/>
        <w:ind w:firstLine="640" w:firstLineChars="200"/>
        <w:outlineLvl w:val="0"/>
        <w:rPr>
          <w:rFonts w:hint="eastAsia" w:ascii="仿宋_GB2312" w:hAnsi="Times New Roman" w:eastAsia="仿宋_GB2312"/>
          <w:sz w:val="32"/>
          <w:szCs w:val="32"/>
        </w:rPr>
      </w:pPr>
      <w:r>
        <w:rPr>
          <w:rFonts w:hint="eastAsia" w:ascii="仿宋_GB2312" w:hAnsi="Times New Roman" w:eastAsia="仿宋_GB2312"/>
          <w:sz w:val="32"/>
          <w:szCs w:val="32"/>
        </w:rPr>
        <w:t>（</w:t>
      </w:r>
      <w:r>
        <w:rPr>
          <w:rFonts w:ascii="仿宋_GB2312" w:hAnsi="Times New Roman" w:eastAsia="仿宋_GB2312"/>
          <w:sz w:val="32"/>
          <w:szCs w:val="32"/>
          <w:lang w:val="en"/>
        </w:rPr>
        <w:t>9</w:t>
      </w:r>
      <w:r>
        <w:rPr>
          <w:rFonts w:hint="eastAsia" w:ascii="仿宋_GB2312" w:hAnsi="Times New Roman" w:eastAsia="仿宋_GB2312"/>
          <w:sz w:val="32"/>
          <w:szCs w:val="32"/>
        </w:rPr>
        <w:t>）</w:t>
      </w:r>
      <w:r>
        <w:rPr>
          <w:rFonts w:ascii="仿宋_GB2312" w:hAnsi="Times New Roman" w:eastAsia="仿宋_GB2312"/>
          <w:sz w:val="32"/>
          <w:szCs w:val="32"/>
        </w:rPr>
        <w:t>以国家需求和用户满意为导向的专利</w:t>
      </w:r>
      <w:r>
        <w:rPr>
          <w:rFonts w:hint="eastAsia" w:ascii="仿宋_GB2312" w:hAnsi="Times New Roman" w:eastAsia="仿宋_GB2312"/>
          <w:sz w:val="32"/>
          <w:szCs w:val="32"/>
        </w:rPr>
        <w:t>审查管理体制机制改革研究</w:t>
      </w:r>
    </w:p>
    <w:p>
      <w:pPr>
        <w:spacing w:line="560" w:lineRule="exact"/>
        <w:ind w:firstLine="640" w:firstLineChars="200"/>
        <w:outlineLvl w:val="0"/>
        <w:rPr>
          <w:rFonts w:hint="eastAsia" w:ascii="仿宋_GB2312" w:hAnsi="Times New Roman" w:eastAsia="仿宋_GB2312"/>
          <w:sz w:val="32"/>
          <w:szCs w:val="32"/>
        </w:rPr>
      </w:pPr>
      <w:r>
        <w:rPr>
          <w:rFonts w:hint="eastAsia" w:ascii="仿宋_GB2312" w:hAnsi="Times New Roman" w:eastAsia="仿宋_GB2312"/>
          <w:sz w:val="32"/>
          <w:szCs w:val="32"/>
        </w:rPr>
        <w:t>（1</w:t>
      </w:r>
      <w:r>
        <w:rPr>
          <w:rFonts w:ascii="仿宋_GB2312" w:hAnsi="Times New Roman" w:eastAsia="仿宋_GB2312"/>
          <w:sz w:val="32"/>
          <w:szCs w:val="32"/>
          <w:lang w:val="en"/>
        </w:rPr>
        <w:t>0</w:t>
      </w:r>
      <w:r>
        <w:rPr>
          <w:rFonts w:hint="eastAsia" w:ascii="仿宋_GB2312" w:hAnsi="Times New Roman" w:eastAsia="仿宋_GB2312"/>
          <w:sz w:val="32"/>
          <w:szCs w:val="32"/>
        </w:rPr>
        <w:t>）</w:t>
      </w:r>
      <w:r>
        <w:rPr>
          <w:rFonts w:ascii="仿宋_GB2312" w:hAnsi="Times New Roman" w:eastAsia="仿宋_GB2312"/>
          <w:sz w:val="32"/>
          <w:szCs w:val="32"/>
        </w:rPr>
        <w:t>与产业发展政策协同和业务联动</w:t>
      </w:r>
      <w:r>
        <w:rPr>
          <w:rFonts w:hint="eastAsia" w:ascii="仿宋_GB2312" w:hAnsi="Times New Roman" w:eastAsia="仿宋_GB2312"/>
          <w:sz w:val="32"/>
          <w:szCs w:val="32"/>
        </w:rPr>
        <w:t>的审查模式研究</w:t>
      </w:r>
    </w:p>
    <w:p>
      <w:pPr>
        <w:spacing w:line="560" w:lineRule="exact"/>
        <w:ind w:firstLine="640" w:firstLineChars="200"/>
        <w:outlineLvl w:val="0"/>
        <w:rPr>
          <w:rFonts w:hint="eastAsia" w:ascii="仿宋_GB2312" w:hAnsi="Times New Roman" w:eastAsia="仿宋_GB2312"/>
          <w:sz w:val="32"/>
          <w:szCs w:val="32"/>
        </w:rPr>
      </w:pPr>
      <w:r>
        <w:rPr>
          <w:rFonts w:hint="eastAsia" w:ascii="仿宋_GB2312" w:hAnsi="Times New Roman" w:eastAsia="仿宋_GB2312"/>
          <w:sz w:val="32"/>
          <w:szCs w:val="32"/>
        </w:rPr>
        <w:t>（1</w:t>
      </w:r>
      <w:r>
        <w:rPr>
          <w:rFonts w:ascii="仿宋_GB2312" w:hAnsi="Times New Roman" w:eastAsia="仿宋_GB2312"/>
          <w:sz w:val="32"/>
          <w:szCs w:val="32"/>
          <w:lang w:val="en"/>
        </w:rPr>
        <w:t>1</w:t>
      </w:r>
      <w:r>
        <w:rPr>
          <w:rFonts w:hint="eastAsia" w:ascii="仿宋_GB2312" w:hAnsi="Times New Roman" w:eastAsia="仿宋_GB2312"/>
          <w:sz w:val="32"/>
          <w:szCs w:val="32"/>
        </w:rPr>
        <w:t>）推动高质量发展的专利审查协作机制优化研究</w:t>
      </w:r>
    </w:p>
    <w:p>
      <w:pPr>
        <w:spacing w:line="560" w:lineRule="exact"/>
        <w:ind w:firstLine="640" w:firstLineChars="200"/>
        <w:outlineLvl w:val="0"/>
        <w:rPr>
          <w:rFonts w:hint="eastAsia" w:ascii="仿宋_GB2312" w:hAnsi="Times New Roman" w:eastAsia="仿宋_GB2312"/>
          <w:iCs/>
          <w:sz w:val="32"/>
          <w:szCs w:val="32"/>
        </w:rPr>
      </w:pPr>
      <w:r>
        <w:rPr>
          <w:rFonts w:hint="eastAsia" w:ascii="仿宋_GB2312" w:hAnsi="Times New Roman" w:eastAsia="仿宋_GB2312"/>
          <w:iCs/>
          <w:sz w:val="32"/>
          <w:szCs w:val="32"/>
        </w:rPr>
        <w:t>（1</w:t>
      </w:r>
      <w:r>
        <w:rPr>
          <w:rFonts w:ascii="仿宋_GB2312" w:hAnsi="Times New Roman" w:eastAsia="仿宋_GB2312"/>
          <w:iCs/>
          <w:sz w:val="32"/>
          <w:szCs w:val="32"/>
          <w:lang w:val="en"/>
        </w:rPr>
        <w:t>2</w:t>
      </w:r>
      <w:r>
        <w:rPr>
          <w:rFonts w:hint="eastAsia" w:ascii="仿宋_GB2312" w:hAnsi="Times New Roman" w:eastAsia="仿宋_GB2312"/>
          <w:iCs/>
          <w:sz w:val="32"/>
          <w:szCs w:val="32"/>
        </w:rPr>
        <w:t>）审查全流程运行优化及质量管理完善研究</w:t>
      </w:r>
    </w:p>
    <w:p>
      <w:pPr>
        <w:spacing w:line="560" w:lineRule="exact"/>
        <w:ind w:firstLine="640" w:firstLineChars="200"/>
        <w:outlineLvl w:val="0"/>
        <w:rPr>
          <w:rFonts w:hint="eastAsia" w:ascii="仿宋_GB2312" w:hAnsi="Times New Roman" w:eastAsia="仿宋_GB2312"/>
          <w:iCs/>
          <w:sz w:val="32"/>
          <w:szCs w:val="32"/>
        </w:rPr>
      </w:pPr>
      <w:r>
        <w:rPr>
          <w:rFonts w:hint="eastAsia" w:ascii="仿宋_GB2312" w:hAnsi="Times New Roman" w:eastAsia="仿宋_GB2312"/>
          <w:iCs/>
          <w:sz w:val="32"/>
          <w:szCs w:val="32"/>
        </w:rPr>
        <w:t>（1</w:t>
      </w:r>
      <w:r>
        <w:rPr>
          <w:rFonts w:ascii="仿宋_GB2312" w:hAnsi="Times New Roman" w:eastAsia="仿宋_GB2312"/>
          <w:iCs/>
          <w:sz w:val="32"/>
          <w:szCs w:val="32"/>
          <w:lang w:val="en"/>
        </w:rPr>
        <w:t>3</w:t>
      </w:r>
      <w:r>
        <w:rPr>
          <w:rFonts w:hint="eastAsia" w:ascii="仿宋_GB2312" w:hAnsi="Times New Roman" w:eastAsia="仿宋_GB2312"/>
          <w:iCs/>
          <w:sz w:val="32"/>
          <w:szCs w:val="32"/>
        </w:rPr>
        <w:t>）支撑数字经济发展的专利审查政策研究</w:t>
      </w:r>
    </w:p>
    <w:p>
      <w:pPr>
        <w:spacing w:line="560" w:lineRule="exact"/>
        <w:ind w:firstLine="642" w:firstLineChars="200"/>
        <w:rPr>
          <w:rFonts w:hint="eastAsia" w:ascii="楷体_GB2312" w:hAnsi="宋体" w:eastAsia="楷体_GB2312" w:cs="宋体"/>
          <w:b/>
          <w:sz w:val="32"/>
          <w:szCs w:val="32"/>
        </w:rPr>
      </w:pPr>
      <w:r>
        <w:rPr>
          <w:rFonts w:hint="eastAsia" w:ascii="楷体_GB2312" w:hAnsi="宋体" w:eastAsia="楷体_GB2312" w:cs="宋体"/>
          <w:b/>
          <w:sz w:val="32"/>
          <w:szCs w:val="32"/>
        </w:rPr>
        <w:t>4.</w:t>
      </w:r>
      <w:r>
        <w:rPr>
          <w:rFonts w:hint="eastAsia" w:ascii="楷体_GB2312" w:hAnsi="宋体" w:eastAsia="楷体_GB2312" w:cs="宋体"/>
          <w:b/>
          <w:sz w:val="32"/>
          <w:szCs w:val="32"/>
          <w:lang w:val="en-US" w:eastAsia="zh-CN"/>
        </w:rPr>
        <w:t xml:space="preserve"> </w:t>
      </w:r>
      <w:r>
        <w:rPr>
          <w:rFonts w:hint="eastAsia" w:ascii="楷体_GB2312" w:hAnsi="宋体" w:eastAsia="楷体_GB2312" w:cs="宋体"/>
          <w:b/>
          <w:sz w:val="32"/>
          <w:szCs w:val="32"/>
        </w:rPr>
        <w:t>专利审查支撑保障研究</w:t>
      </w:r>
    </w:p>
    <w:p>
      <w:pPr>
        <w:spacing w:line="560" w:lineRule="exact"/>
        <w:ind w:firstLine="640" w:firstLineChars="200"/>
        <w:outlineLvl w:val="0"/>
        <w:rPr>
          <w:rFonts w:hint="eastAsia" w:ascii="仿宋_GB2312" w:hAnsi="Times New Roman" w:eastAsia="仿宋_GB2312"/>
          <w:sz w:val="32"/>
          <w:szCs w:val="32"/>
        </w:rPr>
      </w:pPr>
      <w:r>
        <w:rPr>
          <w:rFonts w:hint="eastAsia" w:ascii="仿宋_GB2312" w:hAnsi="Times New Roman" w:eastAsia="仿宋_GB2312"/>
          <w:sz w:val="32"/>
          <w:szCs w:val="32"/>
        </w:rPr>
        <w:t>（1</w:t>
      </w:r>
      <w:r>
        <w:rPr>
          <w:rFonts w:ascii="仿宋_GB2312" w:hAnsi="Times New Roman" w:eastAsia="仿宋_GB2312"/>
          <w:sz w:val="32"/>
          <w:szCs w:val="32"/>
          <w:lang w:val="en"/>
        </w:rPr>
        <w:t>4</w:t>
      </w:r>
      <w:r>
        <w:rPr>
          <w:rFonts w:hint="eastAsia" w:ascii="仿宋_GB2312" w:hAnsi="Times New Roman" w:eastAsia="仿宋_GB2312"/>
          <w:sz w:val="32"/>
          <w:szCs w:val="32"/>
        </w:rPr>
        <w:t>）</w:t>
      </w:r>
      <w:r>
        <w:rPr>
          <w:rFonts w:ascii="仿宋_GB2312" w:hAnsi="Times New Roman" w:eastAsia="仿宋_GB2312"/>
          <w:sz w:val="32"/>
          <w:szCs w:val="32"/>
        </w:rPr>
        <w:t>智能化技术</w:t>
      </w:r>
      <w:r>
        <w:rPr>
          <w:rFonts w:hint="eastAsia" w:ascii="仿宋_GB2312" w:hAnsi="Times New Roman" w:eastAsia="仿宋_GB2312"/>
          <w:sz w:val="32"/>
          <w:szCs w:val="32"/>
        </w:rPr>
        <w:t>在专利审查中的应</w:t>
      </w:r>
      <w:r>
        <w:rPr>
          <w:rFonts w:ascii="仿宋_GB2312" w:hAnsi="Times New Roman" w:eastAsia="仿宋_GB2312"/>
          <w:sz w:val="32"/>
          <w:szCs w:val="32"/>
        </w:rPr>
        <w:t>用</w:t>
      </w:r>
      <w:r>
        <w:rPr>
          <w:rFonts w:hint="eastAsia" w:ascii="仿宋_GB2312" w:hAnsi="Times New Roman" w:eastAsia="仿宋_GB2312"/>
          <w:sz w:val="32"/>
          <w:szCs w:val="32"/>
        </w:rPr>
        <w:t>研究</w:t>
      </w:r>
    </w:p>
    <w:p>
      <w:pPr>
        <w:spacing w:line="560" w:lineRule="exact"/>
        <w:ind w:firstLine="640" w:firstLineChars="200"/>
        <w:outlineLvl w:val="0"/>
        <w:rPr>
          <w:rFonts w:hint="eastAsia" w:ascii="仿宋_GB2312" w:hAnsi="Times New Roman" w:eastAsia="仿宋_GB2312"/>
          <w:sz w:val="32"/>
          <w:szCs w:val="32"/>
        </w:rPr>
      </w:pPr>
      <w:r>
        <w:rPr>
          <w:rFonts w:hint="eastAsia" w:ascii="仿宋_GB2312" w:hAnsi="Times New Roman" w:eastAsia="仿宋_GB2312"/>
          <w:sz w:val="32"/>
          <w:szCs w:val="32"/>
        </w:rPr>
        <w:t>（1</w:t>
      </w:r>
      <w:r>
        <w:rPr>
          <w:rFonts w:ascii="仿宋_GB2312" w:hAnsi="Times New Roman" w:eastAsia="仿宋_GB2312"/>
          <w:sz w:val="32"/>
          <w:szCs w:val="32"/>
          <w:lang w:val="en"/>
        </w:rPr>
        <w:t>5</w:t>
      </w:r>
      <w:r>
        <w:rPr>
          <w:rFonts w:hint="eastAsia" w:ascii="仿宋_GB2312" w:hAnsi="Times New Roman" w:eastAsia="仿宋_GB2312"/>
          <w:sz w:val="32"/>
          <w:szCs w:val="32"/>
        </w:rPr>
        <w:t>）提高审查质量效率的智能检索策略研究</w:t>
      </w:r>
    </w:p>
    <w:p>
      <w:pPr>
        <w:spacing w:line="560" w:lineRule="exact"/>
        <w:ind w:firstLine="640" w:firstLineChars="200"/>
        <w:outlineLvl w:val="0"/>
        <w:rPr>
          <w:rFonts w:hint="eastAsia" w:ascii="仿宋_GB2312" w:hAnsi="Times New Roman" w:eastAsia="仿宋_GB2312"/>
          <w:sz w:val="32"/>
          <w:szCs w:val="32"/>
        </w:rPr>
      </w:pPr>
      <w:r>
        <w:rPr>
          <w:rFonts w:hint="eastAsia" w:ascii="仿宋_GB2312" w:hAnsi="Times New Roman" w:eastAsia="仿宋_GB2312"/>
          <w:sz w:val="32"/>
          <w:szCs w:val="32"/>
        </w:rPr>
        <w:t>（1</w:t>
      </w:r>
      <w:r>
        <w:rPr>
          <w:rFonts w:ascii="仿宋_GB2312" w:hAnsi="Times New Roman" w:eastAsia="仿宋_GB2312"/>
          <w:sz w:val="32"/>
          <w:szCs w:val="32"/>
          <w:lang w:val="en"/>
        </w:rPr>
        <w:t>6</w:t>
      </w:r>
      <w:r>
        <w:rPr>
          <w:rFonts w:hint="eastAsia" w:ascii="仿宋_GB2312" w:hAnsi="Times New Roman" w:eastAsia="仿宋_GB2312"/>
          <w:sz w:val="32"/>
          <w:szCs w:val="32"/>
        </w:rPr>
        <w:t>）建设世界一流审查机构的专利审查国际比较研究</w:t>
      </w:r>
    </w:p>
    <w:p>
      <w:pPr>
        <w:spacing w:line="560" w:lineRule="exact"/>
        <w:ind w:firstLine="642" w:firstLineChars="200"/>
        <w:rPr>
          <w:rFonts w:ascii="楷体_GB2312" w:hAnsi="宋体" w:eastAsia="楷体_GB2312" w:cs="宋体"/>
          <w:b/>
          <w:sz w:val="32"/>
          <w:szCs w:val="32"/>
        </w:rPr>
      </w:pPr>
      <w:r>
        <w:rPr>
          <w:rFonts w:hint="eastAsia" w:ascii="楷体_GB2312" w:hAnsi="宋体" w:eastAsia="楷体_GB2312" w:cs="宋体"/>
          <w:b/>
          <w:sz w:val="32"/>
          <w:szCs w:val="32"/>
        </w:rPr>
        <w:t>（二）关键核心技术专利分析类</w:t>
      </w:r>
    </w:p>
    <w:p>
      <w:pPr>
        <w:spacing w:line="560" w:lineRule="exact"/>
        <w:ind w:firstLine="640" w:firstLineChars="200"/>
        <w:rPr>
          <w:rFonts w:ascii="楷体_GB2312" w:hAnsi="宋体" w:eastAsia="楷体_GB2312" w:cs="宋体"/>
          <w:b/>
          <w:sz w:val="32"/>
          <w:szCs w:val="32"/>
        </w:rPr>
      </w:pPr>
      <w:r>
        <w:rPr>
          <w:rFonts w:hint="eastAsia" w:ascii="仿宋_GB2312" w:hAnsi="宋体" w:eastAsia="仿宋_GB2312" w:cs="宋体"/>
          <w:sz w:val="32"/>
          <w:szCs w:val="32"/>
        </w:rPr>
        <w:t>围绕新一代信息技术领域、人工智能领域、清洁能源领域、新材料领域、生物医药领域、高端装备领域及其他战略新兴领域的关键核心技术的全球专利分布情况、重点技术发展趋势、保护与运用情况、重点产品等方面开展专利分析研究。</w:t>
      </w:r>
    </w:p>
    <w:p>
      <w:pPr>
        <w:numPr>
          <w:ilvl w:val="0"/>
          <w:numId w:val="1"/>
        </w:numPr>
        <w:spacing w:line="560" w:lineRule="exact"/>
        <w:ind w:firstLine="642" w:firstLineChars="200"/>
        <w:rPr>
          <w:rFonts w:ascii="楷体_GB2312" w:hAnsi="宋体" w:eastAsia="楷体_GB2312" w:cs="宋体"/>
          <w:b/>
          <w:sz w:val="32"/>
          <w:szCs w:val="32"/>
        </w:rPr>
      </w:pPr>
      <w:r>
        <w:rPr>
          <w:rFonts w:hint="eastAsia" w:ascii="楷体_GB2312" w:hAnsi="宋体" w:eastAsia="楷体_GB2312" w:cs="宋体"/>
          <w:b/>
          <w:sz w:val="32"/>
          <w:szCs w:val="32"/>
        </w:rPr>
        <w:t>新一代信息技术领域</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重点聚焦高端芯片、EDA、先进封装、新型计算、下一代通信网络、新型显示等方向。</w:t>
      </w:r>
    </w:p>
    <w:p>
      <w:pPr>
        <w:numPr>
          <w:ilvl w:val="0"/>
          <w:numId w:val="1"/>
        </w:numPr>
        <w:spacing w:line="560" w:lineRule="exact"/>
        <w:ind w:left="0" w:leftChars="0" w:firstLine="642" w:firstLineChars="200"/>
        <w:rPr>
          <w:rFonts w:ascii="楷体_GB2312" w:hAnsi="宋体" w:eastAsia="楷体_GB2312" w:cs="宋体"/>
          <w:b/>
          <w:sz w:val="32"/>
          <w:szCs w:val="32"/>
        </w:rPr>
      </w:pPr>
      <w:r>
        <w:rPr>
          <w:rFonts w:hint="eastAsia" w:ascii="楷体_GB2312" w:hAnsi="宋体" w:eastAsia="楷体_GB2312" w:cs="宋体"/>
          <w:b/>
          <w:sz w:val="32"/>
          <w:szCs w:val="32"/>
        </w:rPr>
        <w:t>人工智能领域</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重点聚焦AI芯片、类脑智能、智慧产业等方向。</w:t>
      </w:r>
    </w:p>
    <w:p>
      <w:pPr>
        <w:numPr>
          <w:ilvl w:val="0"/>
          <w:numId w:val="1"/>
        </w:numPr>
        <w:spacing w:line="560" w:lineRule="exact"/>
        <w:ind w:left="0" w:leftChars="0" w:firstLine="642" w:firstLineChars="200"/>
        <w:rPr>
          <w:rFonts w:ascii="楷体_GB2312" w:hAnsi="宋体" w:eastAsia="楷体_GB2312" w:cs="宋体"/>
          <w:b/>
          <w:sz w:val="32"/>
          <w:szCs w:val="32"/>
        </w:rPr>
      </w:pPr>
      <w:r>
        <w:rPr>
          <w:rFonts w:hint="eastAsia" w:ascii="楷体_GB2312" w:hAnsi="宋体" w:eastAsia="楷体_GB2312" w:cs="宋体"/>
          <w:b/>
          <w:sz w:val="32"/>
          <w:szCs w:val="32"/>
        </w:rPr>
        <w:t>清洁能源领域</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重点可聚焦低碳技术、绿色电力、新能源电池等方向。</w:t>
      </w:r>
    </w:p>
    <w:p>
      <w:pPr>
        <w:numPr>
          <w:ilvl w:val="0"/>
          <w:numId w:val="1"/>
        </w:numPr>
        <w:spacing w:line="560" w:lineRule="exact"/>
        <w:ind w:left="0" w:leftChars="0" w:firstLine="642" w:firstLineChars="200"/>
        <w:rPr>
          <w:rFonts w:ascii="楷体_GB2312" w:hAnsi="宋体" w:eastAsia="楷体_GB2312" w:cs="宋体"/>
          <w:b/>
          <w:sz w:val="32"/>
          <w:szCs w:val="32"/>
        </w:rPr>
      </w:pPr>
      <w:r>
        <w:rPr>
          <w:rFonts w:hint="eastAsia" w:ascii="楷体_GB2312" w:hAnsi="宋体" w:eastAsia="楷体_GB2312" w:cs="宋体"/>
          <w:b/>
          <w:sz w:val="32"/>
          <w:szCs w:val="32"/>
        </w:rPr>
        <w:t>新材料领域</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重点聚焦高温超导材料、特种金属功能材料、高性能结构材料、功能性高分子材料等方向。</w:t>
      </w:r>
    </w:p>
    <w:p>
      <w:pPr>
        <w:numPr>
          <w:ilvl w:val="0"/>
          <w:numId w:val="1"/>
        </w:numPr>
        <w:spacing w:line="560" w:lineRule="exact"/>
        <w:ind w:left="0" w:leftChars="0" w:firstLine="642" w:firstLineChars="200"/>
        <w:rPr>
          <w:rFonts w:hint="eastAsia" w:ascii="楷体_GB2312" w:hAnsi="宋体" w:eastAsia="楷体_GB2312" w:cs="宋体"/>
          <w:b/>
          <w:sz w:val="32"/>
          <w:szCs w:val="32"/>
        </w:rPr>
      </w:pPr>
      <w:r>
        <w:rPr>
          <w:rFonts w:hint="eastAsia" w:ascii="楷体_GB2312" w:hAnsi="宋体" w:eastAsia="楷体_GB2312" w:cs="宋体"/>
          <w:b/>
          <w:sz w:val="32"/>
          <w:szCs w:val="32"/>
        </w:rPr>
        <w:t>生物医药领域</w:t>
      </w:r>
    </w:p>
    <w:p>
      <w:pPr>
        <w:numPr>
          <w:ilvl w:val="0"/>
          <w:numId w:val="0"/>
        </w:numPr>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重点聚焦防治新型冠状病毒肺炎特效药，针对治疗重大疾病的化学药，以及抗体偶联药、新型疫苗、临床优势突出的创新中药等方向。</w:t>
      </w:r>
    </w:p>
    <w:p>
      <w:pPr>
        <w:numPr>
          <w:ilvl w:val="0"/>
          <w:numId w:val="1"/>
        </w:numPr>
        <w:spacing w:line="560" w:lineRule="exact"/>
        <w:ind w:left="0" w:leftChars="0" w:firstLine="642" w:firstLineChars="200"/>
        <w:rPr>
          <w:rFonts w:hint="eastAsia" w:ascii="楷体_GB2312" w:hAnsi="宋体" w:eastAsia="楷体_GB2312" w:cs="宋体"/>
          <w:b/>
          <w:sz w:val="32"/>
          <w:szCs w:val="32"/>
        </w:rPr>
      </w:pPr>
      <w:r>
        <w:rPr>
          <w:rFonts w:hint="eastAsia" w:ascii="楷体_GB2312" w:hAnsi="宋体" w:eastAsia="楷体_GB2312" w:cs="宋体"/>
          <w:b/>
          <w:sz w:val="32"/>
          <w:szCs w:val="32"/>
        </w:rPr>
        <w:t>高端装备领域</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重点聚焦核心基础零部件、特种机器人、发电与输变电设备、隧道掘进设备等方向。</w:t>
      </w:r>
    </w:p>
    <w:p>
      <w:pPr>
        <w:spacing w:line="560" w:lineRule="exact"/>
        <w:ind w:firstLine="642" w:firstLineChars="200"/>
        <w:rPr>
          <w:rFonts w:ascii="楷体_GB2312" w:hAnsi="宋体" w:eastAsia="楷体_GB2312" w:cs="宋体"/>
          <w:b/>
          <w:sz w:val="32"/>
          <w:szCs w:val="32"/>
        </w:rPr>
      </w:pPr>
      <w:r>
        <w:rPr>
          <w:rFonts w:hint="eastAsia" w:ascii="楷体_GB2312" w:hAnsi="宋体" w:eastAsia="楷体_GB2312" w:cs="宋体"/>
          <w:b/>
          <w:sz w:val="32"/>
          <w:szCs w:val="32"/>
        </w:rPr>
        <w:t>7.其他</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除上述方向外，亦可围绕我国战略性新兴产业，以及专利分析方法论等方面开展研究。</w:t>
      </w:r>
    </w:p>
    <w:p>
      <w:pPr>
        <w:spacing w:line="560" w:lineRule="exact"/>
        <w:ind w:firstLine="642" w:firstLineChars="200"/>
        <w:rPr>
          <w:rFonts w:hint="eastAsia" w:ascii="楷体_GB2312" w:hAnsi="宋体" w:eastAsia="楷体_GB2312" w:cs="宋体"/>
          <w:b/>
          <w:sz w:val="32"/>
          <w:szCs w:val="32"/>
        </w:rPr>
      </w:pPr>
    </w:p>
    <w:p>
      <w:pPr>
        <w:spacing w:line="560" w:lineRule="exact"/>
        <w:ind w:firstLine="642" w:firstLineChars="200"/>
        <w:rPr>
          <w:rFonts w:hint="eastAsia" w:ascii="楷体_GB2312" w:hAnsi="宋体" w:eastAsia="楷体_GB2312" w:cs="宋体"/>
          <w:b/>
          <w:sz w:val="32"/>
          <w:szCs w:val="32"/>
        </w:rPr>
      </w:pPr>
    </w:p>
    <w:p>
      <w:pPr>
        <w:spacing w:line="560" w:lineRule="exact"/>
        <w:ind w:firstLine="642" w:firstLineChars="200"/>
        <w:rPr>
          <w:rFonts w:hint="eastAsia" w:ascii="楷体_GB2312" w:hAnsi="宋体" w:eastAsia="楷体_GB2312" w:cs="宋体"/>
          <w:b/>
          <w:sz w:val="32"/>
          <w:szCs w:val="32"/>
        </w:rPr>
      </w:pPr>
    </w:p>
    <w:p>
      <w:pPr>
        <w:spacing w:line="560" w:lineRule="exact"/>
        <w:ind w:firstLine="642" w:firstLineChars="200"/>
        <w:rPr>
          <w:rFonts w:hint="eastAsia" w:ascii="楷体_GB2312" w:hAnsi="宋体" w:eastAsia="楷体_GB2312" w:cs="宋体"/>
          <w:b/>
          <w:sz w:val="32"/>
          <w:szCs w:val="32"/>
        </w:rPr>
      </w:pPr>
    </w:p>
    <w:p>
      <w:pPr>
        <w:spacing w:line="560" w:lineRule="exact"/>
        <w:rPr>
          <w:rFonts w:ascii="仿宋_GB2312" w:hAnsi="宋体" w:eastAsia="仿宋_GB2312" w:cs="宋体"/>
          <w:sz w:val="32"/>
          <w:szCs w:val="32"/>
        </w:rPr>
      </w:pPr>
      <w:r>
        <w:rPr>
          <w:rFonts w:hint="eastAsia" w:ascii="仿宋_GB2312" w:hAnsi="宋体" w:eastAsia="仿宋_GB2312" w:cs="宋体"/>
          <w:sz w:val="32"/>
          <w:szCs w:val="32"/>
        </w:rPr>
        <w:t>联系人：王 涛、孙  琨</w:t>
      </w:r>
    </w:p>
    <w:p>
      <w:pPr>
        <w:spacing w:line="560" w:lineRule="exact"/>
        <w:rPr>
          <w:rFonts w:ascii="仿宋_GB2312" w:hAnsi="宋体" w:eastAsia="仿宋_GB2312" w:cs="宋体"/>
          <w:sz w:val="32"/>
          <w:szCs w:val="32"/>
        </w:rPr>
      </w:pPr>
      <w:r>
        <w:rPr>
          <w:rFonts w:hint="eastAsia" w:ascii="仿宋_GB2312" w:hAnsi="宋体" w:eastAsia="仿宋_GB2312" w:cs="宋体"/>
          <w:sz w:val="32"/>
          <w:szCs w:val="32"/>
        </w:rPr>
        <w:t>电  话：010</w:t>
      </w:r>
      <w:r>
        <w:rPr>
          <w:rFonts w:hint="eastAsia" w:ascii="仿宋_GB2312" w:hAnsi="仿宋_GB2312" w:eastAsia="仿宋_GB2312" w:cs="仿宋_GB2312"/>
          <w:sz w:val="32"/>
          <w:szCs w:val="32"/>
        </w:rPr>
        <w:t>-</w:t>
      </w:r>
      <w:r>
        <w:rPr>
          <w:rFonts w:hint="eastAsia" w:ascii="仿宋_GB2312" w:hAnsi="宋体" w:eastAsia="仿宋_GB2312" w:cs="宋体"/>
          <w:sz w:val="32"/>
          <w:szCs w:val="32"/>
        </w:rPr>
        <w:t>62086068</w:t>
      </w:r>
      <w:r>
        <w:rPr>
          <w:rFonts w:hint="eastAsia" w:ascii="仿宋_GB2312" w:hAnsi="宋体" w:eastAsia="仿宋_GB2312" w:cs="宋体"/>
          <w:sz w:val="32"/>
          <w:szCs w:val="32"/>
          <w:lang w:val="en-US" w:eastAsia="zh-CN"/>
        </w:rPr>
        <w:t xml:space="preserve">  </w:t>
      </w:r>
      <w:r>
        <w:rPr>
          <w:rFonts w:hint="eastAsia" w:ascii="仿宋_GB2312" w:hAnsi="宋体" w:eastAsia="仿宋_GB2312" w:cs="宋体"/>
          <w:sz w:val="32"/>
          <w:szCs w:val="32"/>
        </w:rPr>
        <w:t>62086193</w:t>
      </w:r>
    </w:p>
    <w:p>
      <w:pPr>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地  址：北京市海淀区西土城路 6 号国家知识产权局审查业务管理部研究处</w:t>
      </w:r>
    </w:p>
    <w:p>
      <w:pPr>
        <w:spacing w:line="560" w:lineRule="exact"/>
        <w:rPr>
          <w:rFonts w:ascii="仿宋_GB2312" w:hAnsi="宋体" w:eastAsia="仿宋_GB2312" w:cs="宋体"/>
          <w:sz w:val="32"/>
          <w:szCs w:val="32"/>
        </w:rPr>
      </w:pPr>
      <w:r>
        <w:rPr>
          <w:rFonts w:hint="eastAsia" w:ascii="仿宋_GB2312" w:hAnsi="宋体" w:eastAsia="仿宋_GB2312" w:cs="宋体"/>
          <w:sz w:val="32"/>
          <w:szCs w:val="32"/>
        </w:rPr>
        <w:t>邮  箱：xswyh@cnipa.gov.cn</w:t>
      </w:r>
    </w:p>
    <w:p>
      <w:pPr>
        <w:spacing w:line="560" w:lineRule="exact"/>
        <w:ind w:firstLine="642" w:firstLineChars="200"/>
        <w:rPr>
          <w:rFonts w:hint="eastAsia" w:ascii="楷体_GB2312" w:hAnsi="宋体" w:eastAsia="楷体_GB2312" w:cs="宋体"/>
          <w:b/>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Univers (W1)">
    <w:altName w:val="DejaVu Math TeX Gyre"/>
    <w:panose1 w:val="00000000000000000000"/>
    <w:charset w:val="00"/>
    <w:family w:val="swiss"/>
    <w:pitch w:val="default"/>
    <w:sig w:usb0="00000000" w:usb1="0000000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00"/>
    <w:family w:val="modern"/>
    <w:pitch w:val="default"/>
    <w:sig w:usb0="00000000" w:usb1="00000000" w:usb2="00000000" w:usb3="00000000" w:csb0="00040000" w:csb1="00000000"/>
  </w:font>
  <w:font w:name="楷体_GB2312">
    <w:altName w:val="方正楷体_GBK"/>
    <w:panose1 w:val="02010609030101010101"/>
    <w:charset w:val="00"/>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4</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F8DB19"/>
    <w:multiLevelType w:val="singleLevel"/>
    <w:tmpl w:val="7FF8DB19"/>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5C6E59FF000072A7" w:val=" "/>
    <w:docVar w:name="5C6E5E1000005826" w:val=" "/>
    <w:docVar w:name="5C73434D00006308" w:val=" "/>
    <w:docVar w:name="5C73B622000087FA" w:val=" "/>
    <w:docVar w:name="5C74AFEB00000C33" w:val=" "/>
    <w:docVar w:name="5C74D0CB00008B4F" w:val=" "/>
    <w:docVar w:name="5C75DB2E0000DA95" w:val=" "/>
    <w:docVar w:name="61F25C1F0000EB82" w:val=" "/>
  </w:docVars>
  <w:rsids>
    <w:rsidRoot w:val="0000551E"/>
    <w:rsid w:val="0000551E"/>
    <w:rsid w:val="00052329"/>
    <w:rsid w:val="0009319E"/>
    <w:rsid w:val="000E471E"/>
    <w:rsid w:val="00124BBD"/>
    <w:rsid w:val="00152036"/>
    <w:rsid w:val="001771B0"/>
    <w:rsid w:val="0019326C"/>
    <w:rsid w:val="001A610C"/>
    <w:rsid w:val="001C4050"/>
    <w:rsid w:val="001C4AEA"/>
    <w:rsid w:val="002062F8"/>
    <w:rsid w:val="00230F5C"/>
    <w:rsid w:val="00234F74"/>
    <w:rsid w:val="00235D43"/>
    <w:rsid w:val="00251E08"/>
    <w:rsid w:val="002643C5"/>
    <w:rsid w:val="0027371D"/>
    <w:rsid w:val="0030611E"/>
    <w:rsid w:val="00307748"/>
    <w:rsid w:val="00320D2F"/>
    <w:rsid w:val="003223EB"/>
    <w:rsid w:val="00346732"/>
    <w:rsid w:val="00375346"/>
    <w:rsid w:val="00440683"/>
    <w:rsid w:val="00444B1C"/>
    <w:rsid w:val="004478D5"/>
    <w:rsid w:val="00491307"/>
    <w:rsid w:val="00495629"/>
    <w:rsid w:val="004A5C54"/>
    <w:rsid w:val="004E5518"/>
    <w:rsid w:val="005911F8"/>
    <w:rsid w:val="0060655F"/>
    <w:rsid w:val="00621148"/>
    <w:rsid w:val="00636469"/>
    <w:rsid w:val="006443B2"/>
    <w:rsid w:val="00661ABC"/>
    <w:rsid w:val="00663EDA"/>
    <w:rsid w:val="006C1F41"/>
    <w:rsid w:val="006C4D21"/>
    <w:rsid w:val="006F16B2"/>
    <w:rsid w:val="00705044"/>
    <w:rsid w:val="00783954"/>
    <w:rsid w:val="007C04F1"/>
    <w:rsid w:val="007E2508"/>
    <w:rsid w:val="00835243"/>
    <w:rsid w:val="00837B2A"/>
    <w:rsid w:val="00843D36"/>
    <w:rsid w:val="00844FDF"/>
    <w:rsid w:val="008548CB"/>
    <w:rsid w:val="008551F2"/>
    <w:rsid w:val="00865CF5"/>
    <w:rsid w:val="008824A3"/>
    <w:rsid w:val="008B1C35"/>
    <w:rsid w:val="00905473"/>
    <w:rsid w:val="00931F9E"/>
    <w:rsid w:val="00941981"/>
    <w:rsid w:val="009A362D"/>
    <w:rsid w:val="00A42203"/>
    <w:rsid w:val="00A60797"/>
    <w:rsid w:val="00A85D40"/>
    <w:rsid w:val="00AA1932"/>
    <w:rsid w:val="00AD5C1A"/>
    <w:rsid w:val="00AD5C42"/>
    <w:rsid w:val="00B06A80"/>
    <w:rsid w:val="00B1154D"/>
    <w:rsid w:val="00B25D16"/>
    <w:rsid w:val="00B41802"/>
    <w:rsid w:val="00B858CD"/>
    <w:rsid w:val="00BD4AD9"/>
    <w:rsid w:val="00C55845"/>
    <w:rsid w:val="00C55997"/>
    <w:rsid w:val="00C97023"/>
    <w:rsid w:val="00CA5E69"/>
    <w:rsid w:val="00CB21F5"/>
    <w:rsid w:val="00CB6F43"/>
    <w:rsid w:val="00D345D3"/>
    <w:rsid w:val="00D51555"/>
    <w:rsid w:val="00DB10F0"/>
    <w:rsid w:val="00DB3B34"/>
    <w:rsid w:val="00E05672"/>
    <w:rsid w:val="00E4000A"/>
    <w:rsid w:val="00E67CC4"/>
    <w:rsid w:val="00EE73FE"/>
    <w:rsid w:val="00F35663"/>
    <w:rsid w:val="00F80EAB"/>
    <w:rsid w:val="1CF745AA"/>
    <w:rsid w:val="1DF792EB"/>
    <w:rsid w:val="2FBE73A6"/>
    <w:rsid w:val="32D98225"/>
    <w:rsid w:val="33F7CCD4"/>
    <w:rsid w:val="348FCE0E"/>
    <w:rsid w:val="36B72BF6"/>
    <w:rsid w:val="3BFF552E"/>
    <w:rsid w:val="3F7F12C1"/>
    <w:rsid w:val="4EAAB28E"/>
    <w:rsid w:val="517FDC4B"/>
    <w:rsid w:val="53BFA9A1"/>
    <w:rsid w:val="57EDE418"/>
    <w:rsid w:val="5DF23797"/>
    <w:rsid w:val="5E1DC548"/>
    <w:rsid w:val="5EFE41B4"/>
    <w:rsid w:val="5F3BE1A7"/>
    <w:rsid w:val="5F5F243B"/>
    <w:rsid w:val="5FE2E9F4"/>
    <w:rsid w:val="5FFEFF5F"/>
    <w:rsid w:val="65DE5F4F"/>
    <w:rsid w:val="6E290CC8"/>
    <w:rsid w:val="76D54189"/>
    <w:rsid w:val="76DF0CEB"/>
    <w:rsid w:val="7715D6B8"/>
    <w:rsid w:val="7CDEF602"/>
    <w:rsid w:val="7CFFC98F"/>
    <w:rsid w:val="7EFF2891"/>
    <w:rsid w:val="7F55751B"/>
    <w:rsid w:val="7FB5CD32"/>
    <w:rsid w:val="7FECD21E"/>
    <w:rsid w:val="7FEE052A"/>
    <w:rsid w:val="7FFFC65F"/>
    <w:rsid w:val="7FFFE6D9"/>
    <w:rsid w:val="81FDA80F"/>
    <w:rsid w:val="8EE74D7F"/>
    <w:rsid w:val="BAB9FD2F"/>
    <w:rsid w:val="BEFEBD7D"/>
    <w:rsid w:val="CDB30A15"/>
    <w:rsid w:val="CDDF97B8"/>
    <w:rsid w:val="CDFBD7A6"/>
    <w:rsid w:val="CF9F6761"/>
    <w:rsid w:val="D3D9DBBD"/>
    <w:rsid w:val="DBB672AC"/>
    <w:rsid w:val="DF8ECCEE"/>
    <w:rsid w:val="DFBBDC48"/>
    <w:rsid w:val="DFBFC394"/>
    <w:rsid w:val="DFEF6B29"/>
    <w:rsid w:val="E2964498"/>
    <w:rsid w:val="E3FFA590"/>
    <w:rsid w:val="EBDE35EC"/>
    <w:rsid w:val="EFFBC2F1"/>
    <w:rsid w:val="F37DDD0C"/>
    <w:rsid w:val="F5DF826E"/>
    <w:rsid w:val="F77DEB3E"/>
    <w:rsid w:val="F7BD2009"/>
    <w:rsid w:val="F7CC2998"/>
    <w:rsid w:val="F7D7B205"/>
    <w:rsid w:val="FBEC3E41"/>
    <w:rsid w:val="FE5F7DF7"/>
    <w:rsid w:val="FEF15F11"/>
    <w:rsid w:val="FEFFB534"/>
    <w:rsid w:val="FFDF182F"/>
    <w:rsid w:val="FFF71D2A"/>
    <w:rsid w:val="FFFFFB1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9"/>
    <w:qFormat/>
    <w:uiPriority w:val="0"/>
    <w:pPr>
      <w:keepNext/>
      <w:keepLines/>
      <w:spacing w:before="260" w:after="260" w:line="416" w:lineRule="auto"/>
      <w:outlineLvl w:val="1"/>
    </w:pPr>
    <w:rPr>
      <w:rFonts w:ascii="Univers (W1)" w:hAnsi="Univers (W1)" w:eastAsia="黑体"/>
      <w:b/>
      <w:sz w:val="32"/>
      <w:szCs w:val="20"/>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Balloon Text"/>
    <w:basedOn w:val="1"/>
    <w:link w:val="10"/>
    <w:unhideWhenUsed/>
    <w:qFormat/>
    <w:uiPriority w:val="99"/>
    <w:rPr>
      <w:rFonts w:ascii="Times New Roman" w:hAnsi="Times New Roman"/>
      <w:kern w:val="0"/>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character" w:styleId="8">
    <w:name w:val="Strong"/>
    <w:qFormat/>
    <w:uiPriority w:val="22"/>
    <w:rPr>
      <w:b/>
      <w:bCs/>
    </w:rPr>
  </w:style>
  <w:style w:type="character" w:customStyle="1" w:styleId="9">
    <w:name w:val="标题 2 Char"/>
    <w:link w:val="2"/>
    <w:qFormat/>
    <w:uiPriority w:val="0"/>
    <w:rPr>
      <w:rFonts w:ascii="Univers (W1)" w:hAnsi="Univers (W1)" w:eastAsia="黑体"/>
      <w:b/>
      <w:kern w:val="2"/>
      <w:sz w:val="32"/>
    </w:rPr>
  </w:style>
  <w:style w:type="character" w:customStyle="1" w:styleId="10">
    <w:name w:val="批注框文本 Char"/>
    <w:link w:val="3"/>
    <w:semiHidden/>
    <w:qFormat/>
    <w:uiPriority w:val="99"/>
    <w:rPr>
      <w:sz w:val="18"/>
      <w:szCs w:val="18"/>
    </w:rPr>
  </w:style>
  <w:style w:type="character" w:customStyle="1" w:styleId="11">
    <w:name w:val="页脚 Char"/>
    <w:link w:val="4"/>
    <w:qFormat/>
    <w:uiPriority w:val="99"/>
    <w:rPr>
      <w:sz w:val="18"/>
      <w:szCs w:val="18"/>
    </w:rPr>
  </w:style>
  <w:style w:type="character" w:customStyle="1" w:styleId="12">
    <w:name w:val="页眉 Char"/>
    <w:link w:val="5"/>
    <w:semiHidden/>
    <w:qFormat/>
    <w:uiPriority w:val="99"/>
    <w:rPr>
      <w:sz w:val="18"/>
      <w:szCs w:val="18"/>
    </w:rPr>
  </w:style>
  <w:style w:type="character" w:customStyle="1" w:styleId="13">
    <w:name w:val="z-窗体底端 Char"/>
    <w:link w:val="14"/>
    <w:qFormat/>
    <w:uiPriority w:val="0"/>
    <w:rPr>
      <w:rFonts w:ascii="Arial" w:hAnsi="Times New Roman" w:eastAsia="宋体" w:cs="Times New Roman"/>
      <w:vanish/>
      <w:sz w:val="16"/>
      <w:szCs w:val="24"/>
    </w:rPr>
  </w:style>
  <w:style w:type="paragraph" w:customStyle="1" w:styleId="14">
    <w:name w:val="z-窗体底端1"/>
    <w:basedOn w:val="1"/>
    <w:next w:val="1"/>
    <w:link w:val="13"/>
    <w:qFormat/>
    <w:uiPriority w:val="0"/>
    <w:pPr>
      <w:pBdr>
        <w:top w:val="single" w:color="auto" w:sz="6" w:space="1"/>
      </w:pBdr>
      <w:jc w:val="center"/>
    </w:pPr>
    <w:rPr>
      <w:rFonts w:ascii="Arial" w:hAnsi="Times New Roman"/>
      <w:vanish/>
      <w:kern w:val="0"/>
      <w:sz w:val="16"/>
      <w:szCs w:val="24"/>
    </w:rPr>
  </w:style>
  <w:style w:type="character" w:customStyle="1" w:styleId="15">
    <w:name w:val="z-窗体顶端 Char"/>
    <w:link w:val="16"/>
    <w:qFormat/>
    <w:uiPriority w:val="0"/>
    <w:rPr>
      <w:rFonts w:ascii="Arial" w:hAnsi="Times New Roman" w:eastAsia="宋体" w:cs="Times New Roman"/>
      <w:vanish/>
      <w:sz w:val="16"/>
      <w:szCs w:val="24"/>
    </w:rPr>
  </w:style>
  <w:style w:type="paragraph" w:customStyle="1" w:styleId="16">
    <w:name w:val="z-窗体顶端1"/>
    <w:basedOn w:val="1"/>
    <w:next w:val="1"/>
    <w:link w:val="15"/>
    <w:qFormat/>
    <w:uiPriority w:val="0"/>
    <w:pPr>
      <w:pBdr>
        <w:bottom w:val="single" w:color="auto" w:sz="6" w:space="1"/>
      </w:pBdr>
      <w:jc w:val="center"/>
    </w:pPr>
    <w:rPr>
      <w:rFonts w:ascii="Arial" w:hAnsi="Times New Roman"/>
      <w:vanish/>
      <w:kern w:val="0"/>
      <w:sz w:val="16"/>
      <w:szCs w:val="24"/>
    </w:rPr>
  </w:style>
  <w:style w:type="paragraph" w:customStyle="1" w:styleId="17">
    <w:name w:val="修订1"/>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240</Words>
  <Characters>1371</Characters>
  <Lines>11</Lines>
  <Paragraphs>3</Paragraphs>
  <TotalTime>0</TotalTime>
  <ScaleCrop>false</ScaleCrop>
  <LinksUpToDate>false</LinksUpToDate>
  <CharactersWithSpaces>1608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2022-01-28T08:47:00Z</dcterms:created>
  <dc:creator>尹鹏</dc:creator>
  <cp:lastModifiedBy>WANGQW</cp:lastModifiedBy>
  <cp:lastPrinted>2022-01-22T17:04:00Z</cp:lastPrinted>
  <dcterms:modified xsi:type="dcterms:W3CDTF">2022-02-23T15:22:24Z</dcterms:modified>
  <dc:title>附件5</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