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32"/>
          <w:szCs w:val="32"/>
        </w:rPr>
      </w:pPr>
      <w:r>
        <w:rPr>
          <w:rFonts w:hint="eastAsia" w:ascii="黑体" w:hAnsi="宋体" w:eastAsia="黑体"/>
          <w:sz w:val="32"/>
          <w:szCs w:val="32"/>
        </w:rPr>
        <w:t>附件</w:t>
      </w:r>
      <w:r>
        <w:rPr>
          <w:rFonts w:ascii="黑体" w:hAnsi="宋体" w:eastAsia="黑体"/>
          <w:sz w:val="32"/>
          <w:szCs w:val="32"/>
        </w:rPr>
        <w:t>1</w:t>
      </w:r>
    </w:p>
    <w:p>
      <w:pPr>
        <w:spacing w:before="234" w:beforeLines="75" w:line="360" w:lineRule="auto"/>
        <w:jc w:val="center"/>
        <w:rPr>
          <w:rFonts w:ascii="黑体" w:hAnsi="黑体" w:eastAsia="黑体"/>
          <w:sz w:val="36"/>
          <w:szCs w:val="36"/>
        </w:rPr>
      </w:pPr>
      <w:r>
        <w:rPr>
          <w:rFonts w:hint="eastAsia" w:ascii="黑体" w:hAnsi="黑体" w:eastAsia="黑体"/>
          <w:sz w:val="36"/>
          <w:szCs w:val="36"/>
        </w:rPr>
        <w:t>深圳市市场监督管理局</w:t>
      </w:r>
    </w:p>
    <w:p>
      <w:pPr>
        <w:spacing w:before="234" w:beforeLines="75" w:line="360" w:lineRule="auto"/>
        <w:jc w:val="center"/>
        <w:rPr>
          <w:rFonts w:ascii="黑体" w:hAnsi="黑体" w:eastAsia="黑体"/>
          <w:sz w:val="36"/>
          <w:szCs w:val="36"/>
        </w:rPr>
      </w:pPr>
      <w:r>
        <w:rPr>
          <w:rFonts w:hint="eastAsia" w:ascii="黑体" w:hAnsi="黑体" w:eastAsia="黑体"/>
          <w:sz w:val="36"/>
          <w:szCs w:val="36"/>
        </w:rPr>
        <w:t>童车产品质量监督抽查实施规范</w:t>
      </w:r>
    </w:p>
    <w:p>
      <w:pPr>
        <w:spacing w:before="234" w:beforeLines="75" w:line="360" w:lineRule="auto"/>
        <w:jc w:val="center"/>
        <w:rPr>
          <w:rFonts w:ascii="黑体" w:hAnsi="黑体" w:eastAsia="黑体"/>
          <w:sz w:val="28"/>
        </w:rPr>
      </w:pPr>
      <w:r>
        <w:rPr>
          <w:rFonts w:hint="eastAsia" w:ascii="黑体" w:hAnsi="黑体" w:eastAsia="黑体"/>
          <w:sz w:val="28"/>
        </w:rPr>
        <w:t>编号</w:t>
      </w:r>
      <w:r>
        <w:rPr>
          <w:rFonts w:ascii="黑体" w:hAnsi="黑体" w:eastAsia="黑体"/>
          <w:sz w:val="28"/>
        </w:rPr>
        <w:t>：CCGF-SZ-</w:t>
      </w:r>
      <w:r>
        <w:rPr>
          <w:rFonts w:hint="eastAsia" w:ascii="黑体" w:hAnsi="黑体" w:eastAsia="黑体"/>
          <w:sz w:val="28"/>
        </w:rPr>
        <w:t>125</w:t>
      </w:r>
      <w:r>
        <w:rPr>
          <w:rFonts w:ascii="黑体" w:hAnsi="黑体" w:eastAsia="黑体"/>
          <w:sz w:val="28"/>
        </w:rPr>
        <w:t>-</w:t>
      </w:r>
      <w:r>
        <w:rPr>
          <w:rFonts w:hint="eastAsia" w:ascii="黑体" w:hAnsi="黑体" w:eastAsia="黑体"/>
          <w:sz w:val="28"/>
        </w:rPr>
        <w:t>2020</w:t>
      </w:r>
    </w:p>
    <w:p>
      <w:pPr>
        <w:spacing w:before="234" w:beforeLines="75" w:line="360" w:lineRule="auto"/>
        <w:jc w:val="center"/>
        <w:rPr>
          <w:rFonts w:ascii="黑体" w:hAnsi="黑体" w:eastAsia="黑体"/>
          <w:sz w:val="28"/>
        </w:rPr>
      </w:pPr>
      <w:r>
        <w:rPr>
          <w:rFonts w:hint="eastAsia" w:ascii="黑体" w:hAnsi="黑体" w:eastAsia="黑体"/>
          <w:sz w:val="28"/>
        </w:rPr>
        <w:t xml:space="preserve"> </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1 适用范围</w:t>
      </w:r>
    </w:p>
    <w:p>
      <w:pPr>
        <w:snapToGrid w:val="0"/>
        <w:spacing w:line="360" w:lineRule="auto"/>
        <w:ind w:firstLine="548" w:firstLineChars="196"/>
        <w:rPr>
          <w:rFonts w:ascii="仿宋_GB2312" w:hAnsi="宋体" w:eastAsia="仿宋_GB2312"/>
          <w:sz w:val="28"/>
          <w:szCs w:val="28"/>
        </w:rPr>
      </w:pPr>
      <w:r>
        <w:rPr>
          <w:rFonts w:hint="eastAsia" w:ascii="仿宋_GB2312" w:hAnsi="宋体" w:eastAsia="仿宋_GB2312"/>
          <w:sz w:val="28"/>
          <w:szCs w:val="28"/>
        </w:rPr>
        <w:t>本规范适用于深圳市生产及流通领域童车产品质量监督抽查。监督抽查产品范围适用于：各类童车。</w:t>
      </w:r>
    </w:p>
    <w:p>
      <w:pPr>
        <w:snapToGrid w:val="0"/>
        <w:spacing w:line="360" w:lineRule="auto"/>
        <w:ind w:firstLine="548" w:firstLineChars="196"/>
        <w:rPr>
          <w:rFonts w:ascii="仿宋_GB2312" w:hAnsi="宋体" w:eastAsia="仿宋_GB2312"/>
          <w:sz w:val="28"/>
          <w:szCs w:val="28"/>
        </w:rPr>
      </w:pPr>
      <w:r>
        <w:rPr>
          <w:rFonts w:hint="eastAsia" w:ascii="仿宋_GB2312" w:hAnsi="宋体" w:eastAsia="仿宋_GB2312"/>
          <w:sz w:val="28"/>
          <w:szCs w:val="28"/>
        </w:rPr>
        <w:t>本规范内容包括适用范围、产品种类、术语和定义、检验依据、抽样、检验要求，判定原则及异议处理复检。</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2产品种类</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产品种类见表1。</w:t>
      </w:r>
    </w:p>
    <w:p>
      <w:pPr>
        <w:snapToGrid w:val="0"/>
        <w:jc w:val="center"/>
        <w:rPr>
          <w:rFonts w:ascii="黑体" w:hAnsi="黑体" w:eastAsia="黑体"/>
          <w:sz w:val="28"/>
          <w:szCs w:val="28"/>
        </w:rPr>
      </w:pPr>
      <w:r>
        <w:rPr>
          <w:rFonts w:hint="eastAsia" w:ascii="黑体" w:hAnsi="黑体" w:eastAsia="黑体"/>
          <w:sz w:val="28"/>
          <w:szCs w:val="28"/>
        </w:rPr>
        <w:t>表1  产品种类</w:t>
      </w:r>
    </w:p>
    <w:tbl>
      <w:tblPr>
        <w:tblStyle w:val="4"/>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025" w:type="dxa"/>
            <w:noWrap w:val="0"/>
            <w:vAlign w:val="center"/>
          </w:tcPr>
          <w:p>
            <w:pPr>
              <w:snapToGrid w:val="0"/>
              <w:jc w:val="center"/>
              <w:rPr>
                <w:rFonts w:ascii="黑体" w:hAnsi="黑体" w:eastAsia="黑体"/>
                <w:sz w:val="24"/>
              </w:rPr>
            </w:pPr>
            <w:r>
              <w:rPr>
                <w:rFonts w:hint="eastAsia" w:ascii="黑体" w:hAnsi="黑体" w:eastAsia="黑体"/>
                <w:sz w:val="24"/>
              </w:rPr>
              <w:t>产品种类</w:t>
            </w:r>
          </w:p>
        </w:tc>
        <w:tc>
          <w:tcPr>
            <w:tcW w:w="6447" w:type="dxa"/>
            <w:noWrap w:val="0"/>
            <w:vAlign w:val="center"/>
          </w:tcPr>
          <w:p>
            <w:pPr>
              <w:snapToGrid w:val="0"/>
              <w:jc w:val="center"/>
              <w:rPr>
                <w:rFonts w:ascii="黑体" w:hAnsi="黑体" w:eastAsia="黑体"/>
                <w:sz w:val="24"/>
              </w:rPr>
            </w:pPr>
            <w:r>
              <w:rPr>
                <w:rFonts w:hint="eastAsia" w:ascii="黑体" w:hAnsi="黑体" w:eastAsia="黑体"/>
                <w:sz w:val="24"/>
              </w:rPr>
              <w:t>包含产品列举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25" w:type="dxa"/>
            <w:noWrap w:val="0"/>
            <w:vAlign w:val="center"/>
          </w:tcPr>
          <w:p>
            <w:pPr>
              <w:autoSpaceDE w:val="0"/>
              <w:autoSpaceDN w:val="0"/>
              <w:adjustRightInd w:val="0"/>
              <w:spacing w:line="300" w:lineRule="exact"/>
              <w:jc w:val="center"/>
              <w:rPr>
                <w:rFonts w:ascii="仿宋_GB2312" w:hAnsi="宋体" w:eastAsia="仿宋_GB2312"/>
                <w:sz w:val="24"/>
                <w:szCs w:val="21"/>
              </w:rPr>
            </w:pPr>
            <w:r>
              <w:rPr>
                <w:rFonts w:hint="eastAsia" w:ascii="仿宋_GB2312" w:hAnsi="宋体" w:eastAsia="仿宋_GB2312"/>
                <w:sz w:val="24"/>
                <w:szCs w:val="21"/>
              </w:rPr>
              <w:t>童车</w:t>
            </w:r>
          </w:p>
        </w:tc>
        <w:tc>
          <w:tcPr>
            <w:tcW w:w="6447" w:type="dxa"/>
            <w:noWrap w:val="0"/>
            <w:vAlign w:val="center"/>
          </w:tcPr>
          <w:p>
            <w:pPr>
              <w:autoSpaceDE w:val="0"/>
              <w:autoSpaceDN w:val="0"/>
              <w:adjustRightInd w:val="0"/>
              <w:spacing w:line="300" w:lineRule="exact"/>
              <w:rPr>
                <w:rFonts w:ascii="宋体" w:hAnsi="宋体" w:cs="宋体"/>
                <w:kern w:val="0"/>
                <w:sz w:val="24"/>
              </w:rPr>
            </w:pPr>
            <w:r>
              <w:rPr>
                <w:rFonts w:hint="eastAsia" w:ascii="仿宋_GB2312" w:eastAsia="仿宋_GB2312" w:cs="宋体"/>
                <w:kern w:val="0"/>
                <w:sz w:val="24"/>
                <w:szCs w:val="28"/>
              </w:rPr>
              <w:t>儿童自行车、儿童三轮车、婴儿学步车、儿童推车、儿童滑板车、其他类童车（包括玩具自行车、电动童车、扭扭车等）。</w:t>
            </w:r>
          </w:p>
        </w:tc>
      </w:tr>
    </w:tbl>
    <w:p>
      <w:pPr>
        <w:snapToGrid w:val="0"/>
        <w:spacing w:before="156" w:beforeLines="50" w:line="360" w:lineRule="auto"/>
        <w:rPr>
          <w:rFonts w:ascii="仿宋_GB2312" w:hAnsi="宋体" w:eastAsia="仿宋_GB2312"/>
          <w:b/>
          <w:sz w:val="28"/>
          <w:szCs w:val="28"/>
        </w:rPr>
      </w:pPr>
      <w:r>
        <w:rPr>
          <w:rFonts w:hint="eastAsia" w:ascii="仿宋_GB2312" w:hAnsi="宋体" w:eastAsia="仿宋_GB2312"/>
          <w:b/>
          <w:sz w:val="28"/>
          <w:szCs w:val="28"/>
        </w:rPr>
        <w:t>3 术语和定义</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术语和定义见表2。</w:t>
      </w:r>
    </w:p>
    <w:p>
      <w:pPr>
        <w:snapToGrid w:val="0"/>
        <w:jc w:val="center"/>
        <w:rPr>
          <w:rFonts w:ascii="黑体" w:hAnsi="黑体" w:eastAsia="黑体"/>
          <w:sz w:val="28"/>
          <w:szCs w:val="28"/>
        </w:rPr>
      </w:pPr>
      <w:r>
        <w:rPr>
          <w:rFonts w:hint="eastAsia" w:ascii="黑体" w:hAnsi="黑体" w:eastAsia="黑体"/>
          <w:sz w:val="28"/>
          <w:szCs w:val="28"/>
        </w:rPr>
        <w:t>表2 术语和定义</w:t>
      </w:r>
    </w:p>
    <w:tbl>
      <w:tblPr>
        <w:tblStyle w:val="4"/>
        <w:tblW w:w="84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6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963" w:type="dxa"/>
            <w:noWrap w:val="0"/>
            <w:vAlign w:val="center"/>
          </w:tcPr>
          <w:p>
            <w:pPr>
              <w:snapToGrid w:val="0"/>
              <w:jc w:val="center"/>
              <w:rPr>
                <w:rFonts w:ascii="黑体" w:hAnsi="黑体" w:eastAsia="黑体"/>
                <w:sz w:val="24"/>
              </w:rPr>
            </w:pPr>
            <w:r>
              <w:rPr>
                <w:rFonts w:hint="eastAsia" w:ascii="黑体" w:hAnsi="黑体" w:eastAsia="黑体"/>
                <w:sz w:val="24"/>
              </w:rPr>
              <w:t>产品种类</w:t>
            </w:r>
          </w:p>
        </w:tc>
        <w:tc>
          <w:tcPr>
            <w:tcW w:w="6447" w:type="dxa"/>
            <w:noWrap w:val="0"/>
            <w:vAlign w:val="center"/>
          </w:tcPr>
          <w:p>
            <w:pPr>
              <w:snapToGrid w:val="0"/>
              <w:jc w:val="center"/>
              <w:rPr>
                <w:rFonts w:ascii="黑体" w:hAnsi="黑体" w:eastAsia="黑体"/>
                <w:sz w:val="24"/>
              </w:rPr>
            </w:pPr>
            <w:r>
              <w:rPr>
                <w:rFonts w:hint="eastAsia" w:ascii="黑体" w:hAnsi="黑体" w:eastAsia="黑体"/>
                <w:sz w:val="24"/>
              </w:rPr>
              <w:t>产品种类描述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3" w:type="dxa"/>
            <w:noWrap w:val="0"/>
            <w:vAlign w:val="center"/>
          </w:tcPr>
          <w:p>
            <w:pPr>
              <w:autoSpaceDE w:val="0"/>
              <w:autoSpaceDN w:val="0"/>
              <w:adjustRightInd w:val="0"/>
              <w:snapToGrid w:val="0"/>
              <w:jc w:val="center"/>
              <w:rPr>
                <w:rFonts w:ascii="仿宋_GB2312" w:hAnsi="宋体" w:eastAsia="仿宋_GB2312"/>
                <w:sz w:val="24"/>
              </w:rPr>
            </w:pPr>
            <w:r>
              <w:rPr>
                <w:rFonts w:hint="eastAsia" w:ascii="仿宋_GB2312" w:hAnsi="宋体" w:eastAsia="仿宋_GB2312"/>
                <w:sz w:val="24"/>
              </w:rPr>
              <w:t>儿童自行车</w:t>
            </w:r>
          </w:p>
        </w:tc>
        <w:tc>
          <w:tcPr>
            <w:tcW w:w="6447" w:type="dxa"/>
            <w:noWrap w:val="0"/>
            <w:vAlign w:val="center"/>
          </w:tcPr>
          <w:p>
            <w:pPr>
              <w:autoSpaceDE w:val="0"/>
              <w:autoSpaceDN w:val="0"/>
              <w:adjustRightInd w:val="0"/>
              <w:snapToGrid w:val="0"/>
              <w:jc w:val="left"/>
              <w:rPr>
                <w:rFonts w:ascii="仿宋_GB2312" w:hAnsi="宋体" w:eastAsia="仿宋_GB2312"/>
                <w:sz w:val="24"/>
              </w:rPr>
            </w:pPr>
            <w:r>
              <w:rPr>
                <w:rFonts w:hint="eastAsia" w:ascii="仿宋_GB2312" w:hAnsi="宋体" w:eastAsia="仿宋_GB2312"/>
                <w:sz w:val="24"/>
              </w:rPr>
              <w:t>四岁至八岁儿童骑行的鞍座最大高度在435mm和635mm之间、凭借作用于后轮的驱动机构骑行的自行车。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3" w:type="dxa"/>
            <w:noWrap w:val="0"/>
            <w:vAlign w:val="center"/>
          </w:tcPr>
          <w:p>
            <w:pPr>
              <w:autoSpaceDE w:val="0"/>
              <w:autoSpaceDN w:val="0"/>
              <w:adjustRightInd w:val="0"/>
              <w:snapToGrid w:val="0"/>
              <w:jc w:val="center"/>
              <w:rPr>
                <w:rFonts w:ascii="仿宋_GB2312" w:hAnsi="宋体" w:eastAsia="仿宋_GB2312"/>
                <w:sz w:val="24"/>
              </w:rPr>
            </w:pPr>
            <w:r>
              <w:rPr>
                <w:rFonts w:hint="eastAsia" w:ascii="仿宋_GB2312" w:hAnsi="宋体" w:eastAsia="仿宋_GB2312"/>
                <w:sz w:val="24"/>
              </w:rPr>
              <w:t>儿童三轮车</w:t>
            </w:r>
          </w:p>
        </w:tc>
        <w:tc>
          <w:tcPr>
            <w:tcW w:w="6447" w:type="dxa"/>
            <w:noWrap w:val="0"/>
            <w:vAlign w:val="center"/>
          </w:tcPr>
          <w:p>
            <w:pPr>
              <w:autoSpaceDE w:val="0"/>
              <w:autoSpaceDN w:val="0"/>
              <w:adjustRightInd w:val="0"/>
              <w:snapToGrid w:val="0"/>
              <w:jc w:val="left"/>
              <w:rPr>
                <w:rFonts w:ascii="仿宋_GB2312" w:hAnsi="宋体" w:eastAsia="仿宋_GB2312"/>
                <w:sz w:val="24"/>
              </w:rPr>
            </w:pPr>
            <w:r>
              <w:rPr>
                <w:rFonts w:hint="eastAsia" w:ascii="仿宋_GB2312" w:hAnsi="宋体" w:eastAsia="仿宋_GB2312"/>
                <w:sz w:val="24"/>
              </w:rPr>
              <w:t>供一名儿童或多名儿童乘坐的一种轮式车辆，各车轮与地面的接触点应能形成三角形或梯形，并仅借人力靠脚蹬驱动前轮而行驶的车辆。如果轮子与地面的接触点构成的形状为梯形，则窄轮距宽度应小于宽轮距的一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3" w:type="dxa"/>
            <w:noWrap w:val="0"/>
            <w:vAlign w:val="center"/>
          </w:tcPr>
          <w:p>
            <w:pPr>
              <w:autoSpaceDE w:val="0"/>
              <w:autoSpaceDN w:val="0"/>
              <w:adjustRightInd w:val="0"/>
              <w:snapToGrid w:val="0"/>
              <w:spacing w:line="340" w:lineRule="exact"/>
              <w:jc w:val="center"/>
              <w:rPr>
                <w:rFonts w:ascii="仿宋_GB2312" w:hAnsi="宋体" w:eastAsia="仿宋_GB2312"/>
                <w:sz w:val="24"/>
              </w:rPr>
            </w:pPr>
            <w:r>
              <w:rPr>
                <w:rFonts w:hint="eastAsia" w:ascii="仿宋_GB2312" w:hAnsi="宋体" w:eastAsia="仿宋_GB2312"/>
                <w:sz w:val="24"/>
              </w:rPr>
              <w:t>儿童推车</w:t>
            </w:r>
          </w:p>
        </w:tc>
        <w:tc>
          <w:tcPr>
            <w:tcW w:w="6447" w:type="dxa"/>
            <w:noWrap w:val="0"/>
            <w:vAlign w:val="center"/>
          </w:tcPr>
          <w:p>
            <w:pPr>
              <w:autoSpaceDE w:val="0"/>
              <w:autoSpaceDN w:val="0"/>
              <w:adjustRightInd w:val="0"/>
              <w:snapToGrid w:val="0"/>
              <w:spacing w:line="340" w:lineRule="exact"/>
              <w:jc w:val="left"/>
              <w:rPr>
                <w:rFonts w:ascii="仿宋_GB2312" w:hAnsi="宋体" w:eastAsia="仿宋_GB2312"/>
                <w:sz w:val="24"/>
              </w:rPr>
            </w:pPr>
            <w:r>
              <w:rPr>
                <w:rFonts w:hint="eastAsia" w:ascii="仿宋_GB2312" w:hAnsi="宋体" w:eastAsia="仿宋_GB2312"/>
                <w:sz w:val="24"/>
              </w:rPr>
              <w:t>供一名儿童或多名儿童乘坐的、由人工推行的车辆。包括卧式推车、坐式推车、坐卧两用推车、多用途推车等。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3" w:type="dxa"/>
            <w:noWrap w:val="0"/>
            <w:vAlign w:val="center"/>
          </w:tcPr>
          <w:p>
            <w:pPr>
              <w:autoSpaceDE w:val="0"/>
              <w:autoSpaceDN w:val="0"/>
              <w:adjustRightInd w:val="0"/>
              <w:snapToGrid w:val="0"/>
              <w:spacing w:line="340" w:lineRule="exact"/>
              <w:jc w:val="center"/>
              <w:rPr>
                <w:rFonts w:ascii="仿宋_GB2312" w:hAnsi="宋体" w:eastAsia="仿宋_GB2312"/>
                <w:sz w:val="24"/>
              </w:rPr>
            </w:pPr>
            <w:r>
              <w:rPr>
                <w:rFonts w:hint="eastAsia" w:ascii="仿宋_GB2312" w:hAnsi="宋体" w:eastAsia="仿宋_GB2312"/>
                <w:sz w:val="24"/>
              </w:rPr>
              <w:t>婴儿学步车</w:t>
            </w:r>
          </w:p>
        </w:tc>
        <w:tc>
          <w:tcPr>
            <w:tcW w:w="6447" w:type="dxa"/>
            <w:noWrap w:val="0"/>
            <w:vAlign w:val="center"/>
          </w:tcPr>
          <w:p>
            <w:pPr>
              <w:autoSpaceDE w:val="0"/>
              <w:autoSpaceDN w:val="0"/>
              <w:adjustRightInd w:val="0"/>
              <w:snapToGrid w:val="0"/>
              <w:spacing w:line="340" w:lineRule="exact"/>
              <w:jc w:val="left"/>
              <w:rPr>
                <w:rFonts w:ascii="仿宋_GB2312" w:hAnsi="宋体" w:eastAsia="仿宋_GB2312"/>
                <w:sz w:val="24"/>
              </w:rPr>
            </w:pPr>
            <w:r>
              <w:rPr>
                <w:rFonts w:hint="eastAsia" w:ascii="仿宋_GB2312" w:hAnsi="宋体" w:eastAsia="仿宋_GB2312"/>
                <w:sz w:val="24"/>
              </w:rPr>
              <w:t>供能够坐立到能够自己行走的婴儿使用的学步车，脚轮上有能运转的坐架，婴儿在车内就坐以后，可以借助框架的支撑进行任意方向运动。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3" w:type="dxa"/>
            <w:noWrap w:val="0"/>
            <w:vAlign w:val="center"/>
          </w:tcPr>
          <w:p>
            <w:pPr>
              <w:autoSpaceDE w:val="0"/>
              <w:autoSpaceDN w:val="0"/>
              <w:adjustRightInd w:val="0"/>
              <w:snapToGrid w:val="0"/>
              <w:spacing w:line="340" w:lineRule="exact"/>
              <w:jc w:val="center"/>
              <w:rPr>
                <w:rFonts w:ascii="仿宋_GB2312" w:hAnsi="宋体" w:eastAsia="仿宋_GB2312"/>
                <w:sz w:val="24"/>
              </w:rPr>
            </w:pPr>
            <w:r>
              <w:rPr>
                <w:rFonts w:hint="eastAsia" w:ascii="仿宋_GB2312" w:eastAsia="仿宋_GB2312" w:cs="宋体"/>
                <w:kern w:val="0"/>
                <w:sz w:val="24"/>
                <w:szCs w:val="28"/>
              </w:rPr>
              <w:t>儿童滑板车</w:t>
            </w:r>
          </w:p>
        </w:tc>
        <w:tc>
          <w:tcPr>
            <w:tcW w:w="6447" w:type="dxa"/>
            <w:noWrap w:val="0"/>
            <w:vAlign w:val="center"/>
          </w:tcPr>
          <w:p>
            <w:pPr>
              <w:snapToGrid w:val="0"/>
              <w:spacing w:line="340" w:lineRule="exact"/>
              <w:jc w:val="left"/>
              <w:rPr>
                <w:rFonts w:eastAsia="仿宋"/>
                <w:kern w:val="0"/>
                <w:sz w:val="28"/>
                <w:szCs w:val="28"/>
              </w:rPr>
            </w:pPr>
            <w:r>
              <w:rPr>
                <w:rFonts w:hint="eastAsia" w:ascii="仿宋_GB2312" w:hAnsi="宋体" w:eastAsia="仿宋_GB2312"/>
                <w:sz w:val="24"/>
              </w:rPr>
              <w:t>供体重不超过50kg儿童使用的、由儿童通过肌肉运动驱动的乘骑玩具，包括可折叠和不可折叠两种形式。儿童滑板车的组成包括以下部件：至少一个站立面、至少2个车轮、1个车把、1个可调节长度或固定长度的把立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3" w:type="dxa"/>
            <w:noWrap w:val="0"/>
            <w:vAlign w:val="center"/>
          </w:tcPr>
          <w:p>
            <w:pPr>
              <w:autoSpaceDE w:val="0"/>
              <w:autoSpaceDN w:val="0"/>
              <w:adjustRightInd w:val="0"/>
              <w:snapToGrid w:val="0"/>
              <w:spacing w:line="340" w:lineRule="exact"/>
              <w:jc w:val="center"/>
              <w:rPr>
                <w:rFonts w:ascii="仿宋_GB2312" w:hAnsi="宋体" w:eastAsia="仿宋_GB2312"/>
                <w:sz w:val="24"/>
              </w:rPr>
            </w:pPr>
            <w:r>
              <w:rPr>
                <w:rFonts w:hint="eastAsia" w:ascii="仿宋_GB2312" w:hAnsi="宋体" w:eastAsia="仿宋_GB2312"/>
                <w:sz w:val="24"/>
              </w:rPr>
              <w:t>其他类童车</w:t>
            </w:r>
          </w:p>
        </w:tc>
        <w:tc>
          <w:tcPr>
            <w:tcW w:w="6447" w:type="dxa"/>
            <w:noWrap w:val="0"/>
            <w:vAlign w:val="center"/>
          </w:tcPr>
          <w:p>
            <w:pPr>
              <w:autoSpaceDE w:val="0"/>
              <w:autoSpaceDN w:val="0"/>
              <w:adjustRightInd w:val="0"/>
              <w:snapToGrid w:val="0"/>
              <w:spacing w:line="340" w:lineRule="exact"/>
              <w:jc w:val="left"/>
              <w:rPr>
                <w:rFonts w:ascii="仿宋_GB2312" w:hAnsi="宋体" w:eastAsia="仿宋_GB2312"/>
                <w:sz w:val="24"/>
              </w:rPr>
            </w:pPr>
            <w:r>
              <w:rPr>
                <w:rFonts w:hint="eastAsia" w:ascii="仿宋_GB2312" w:hAnsi="宋体" w:eastAsia="仿宋_GB2312"/>
                <w:sz w:val="24"/>
              </w:rPr>
              <w:t>除上述童车外，玩具自行车、电动童车、扭扭车等其他童车。</w:t>
            </w:r>
          </w:p>
        </w:tc>
      </w:tr>
    </w:tbl>
    <w:p>
      <w:pPr>
        <w:snapToGrid w:val="0"/>
        <w:spacing w:before="156" w:beforeLines="50" w:line="360" w:lineRule="auto"/>
        <w:rPr>
          <w:rFonts w:ascii="仿宋_GB2312" w:hAnsi="宋体" w:eastAsia="仿宋_GB2312"/>
          <w:b/>
          <w:sz w:val="28"/>
          <w:szCs w:val="28"/>
        </w:rPr>
      </w:pPr>
      <w:r>
        <w:rPr>
          <w:rFonts w:hint="eastAsia" w:ascii="仿宋_GB2312" w:hAnsi="宋体" w:eastAsia="仿宋_GB2312"/>
          <w:b/>
          <w:sz w:val="28"/>
          <w:szCs w:val="28"/>
        </w:rPr>
        <w:t>4 检验依据</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检验依据见表3。</w:t>
      </w:r>
    </w:p>
    <w:p>
      <w:pPr>
        <w:snapToGrid w:val="0"/>
        <w:jc w:val="center"/>
        <w:rPr>
          <w:rFonts w:ascii="黑体" w:hAnsi="黑体" w:eastAsia="黑体"/>
          <w:sz w:val="28"/>
          <w:szCs w:val="28"/>
        </w:rPr>
      </w:pPr>
      <w:r>
        <w:rPr>
          <w:rFonts w:hint="eastAsia" w:ascii="黑体" w:hAnsi="黑体" w:eastAsia="黑体"/>
          <w:sz w:val="28"/>
          <w:szCs w:val="28"/>
        </w:rPr>
        <w:t>表3 检验依据</w:t>
      </w:r>
    </w:p>
    <w:tbl>
      <w:tblPr>
        <w:tblStyle w:val="4"/>
        <w:tblW w:w="90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4339"/>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2194" w:type="dxa"/>
            <w:noWrap w:val="0"/>
            <w:vAlign w:val="center"/>
          </w:tcPr>
          <w:p>
            <w:pPr>
              <w:snapToGrid w:val="0"/>
              <w:jc w:val="center"/>
              <w:rPr>
                <w:rFonts w:ascii="黑体" w:hAnsi="黑体" w:eastAsia="黑体"/>
                <w:sz w:val="24"/>
              </w:rPr>
            </w:pPr>
            <w:r>
              <w:rPr>
                <w:rFonts w:hint="eastAsia" w:ascii="黑体" w:hAnsi="黑体" w:eastAsia="黑体"/>
                <w:sz w:val="24"/>
              </w:rPr>
              <w:t>标准号</w:t>
            </w:r>
          </w:p>
        </w:tc>
        <w:tc>
          <w:tcPr>
            <w:tcW w:w="4339" w:type="dxa"/>
            <w:noWrap w:val="0"/>
            <w:vAlign w:val="center"/>
          </w:tcPr>
          <w:p>
            <w:pPr>
              <w:snapToGrid w:val="0"/>
              <w:jc w:val="center"/>
              <w:rPr>
                <w:rFonts w:ascii="黑体" w:hAnsi="黑体" w:eastAsia="黑体"/>
                <w:sz w:val="24"/>
              </w:rPr>
            </w:pPr>
            <w:r>
              <w:rPr>
                <w:rFonts w:hint="eastAsia" w:ascii="黑体" w:hAnsi="黑体" w:eastAsia="黑体"/>
                <w:sz w:val="24"/>
              </w:rPr>
              <w:t>标准名称</w:t>
            </w:r>
          </w:p>
        </w:tc>
        <w:tc>
          <w:tcPr>
            <w:tcW w:w="2556" w:type="dxa"/>
            <w:noWrap w:val="0"/>
            <w:vAlign w:val="center"/>
          </w:tcPr>
          <w:p>
            <w:pPr>
              <w:snapToGrid w:val="0"/>
              <w:jc w:val="center"/>
              <w:rPr>
                <w:rFonts w:ascii="黑体" w:hAnsi="黑体" w:eastAsia="黑体"/>
                <w:sz w:val="24"/>
              </w:rPr>
            </w:pPr>
            <w:r>
              <w:rPr>
                <w:rFonts w:hint="eastAsia" w:ascii="黑体" w:hAnsi="黑体" w:eastAsia="黑体"/>
                <w:sz w:val="24"/>
              </w:rPr>
              <w:t>请在已获资质处划勾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4" w:type="dxa"/>
            <w:noWrap w:val="0"/>
            <w:vAlign w:val="center"/>
          </w:tcPr>
          <w:p>
            <w:pPr>
              <w:autoSpaceDE w:val="0"/>
              <w:autoSpaceDN w:val="0"/>
              <w:adjustRightInd w:val="0"/>
              <w:jc w:val="center"/>
              <w:rPr>
                <w:rFonts w:ascii="仿宋_GB2312" w:eastAsia="仿宋_GB2312" w:cs="FZHTK--GBK1-0"/>
                <w:kern w:val="0"/>
                <w:sz w:val="24"/>
              </w:rPr>
            </w:pPr>
            <w:r>
              <w:rPr>
                <w:rFonts w:hint="eastAsia" w:ascii="仿宋_GB2312" w:eastAsia="仿宋_GB2312" w:cs="FZHTK--GBK1-0"/>
                <w:kern w:val="0"/>
                <w:sz w:val="24"/>
              </w:rPr>
              <w:t>GB 14746-2006</w:t>
            </w:r>
          </w:p>
        </w:tc>
        <w:tc>
          <w:tcPr>
            <w:tcW w:w="4339" w:type="dxa"/>
            <w:noWrap w:val="0"/>
            <w:vAlign w:val="center"/>
          </w:tcPr>
          <w:p>
            <w:pPr>
              <w:autoSpaceDE w:val="0"/>
              <w:autoSpaceDN w:val="0"/>
              <w:adjustRightInd w:val="0"/>
              <w:jc w:val="center"/>
              <w:rPr>
                <w:rFonts w:ascii="仿宋_GB2312" w:eastAsia="仿宋_GB2312" w:cs="FZHTK--GBK1-0"/>
                <w:kern w:val="0"/>
                <w:sz w:val="24"/>
              </w:rPr>
            </w:pPr>
            <w:r>
              <w:rPr>
                <w:rFonts w:hint="eastAsia" w:ascii="仿宋_GB2312" w:eastAsia="仿宋_GB2312" w:cs="FZHTK--GBK1-0"/>
                <w:kern w:val="0"/>
                <w:sz w:val="24"/>
              </w:rPr>
              <w:t>儿童自行车安全要求</w:t>
            </w:r>
          </w:p>
        </w:tc>
        <w:tc>
          <w:tcPr>
            <w:tcW w:w="2556" w:type="dxa"/>
            <w:noWrap w:val="0"/>
            <w:vAlign w:val="center"/>
          </w:tcPr>
          <w:p>
            <w:pPr>
              <w:snapToGrid w:val="0"/>
              <w:jc w:val="center"/>
              <w:rPr>
                <w:rFonts w:ascii="仿宋_GB2312" w:eastAsia="仿宋_GB2312"/>
                <w:sz w:val="24"/>
                <w:szCs w:val="21"/>
              </w:rPr>
            </w:pPr>
            <w:r>
              <w:rPr>
                <w:rFonts w:ascii="仿宋_GB2312" w:eastAsia="仿宋_GB2312"/>
                <w:sz w:val="24"/>
                <w:szCs w:val="21"/>
              </w:rPr>
              <w:sym w:font="Wingdings 2" w:char="F052"/>
            </w:r>
            <w:r>
              <w:rPr>
                <w:rFonts w:hint="eastAsia" w:ascii="仿宋_GB2312" w:eastAsia="仿宋_GB2312"/>
                <w:sz w:val="24"/>
                <w:szCs w:val="21"/>
              </w:rPr>
              <w:t xml:space="preserve">CMA  </w:t>
            </w:r>
            <w:r>
              <w:rPr>
                <w:rFonts w:ascii="仿宋_GB2312" w:eastAsia="仿宋_GB2312"/>
                <w:sz w:val="24"/>
                <w:szCs w:val="21"/>
              </w:rPr>
              <w:sym w:font="Wingdings 2" w:char="F052"/>
            </w:r>
            <w:r>
              <w:rPr>
                <w:rFonts w:hint="eastAsia" w:ascii="仿宋_GB2312" w:eastAsia="仿宋_GB2312"/>
                <w:sz w:val="24"/>
                <w:szCs w:val="21"/>
              </w:rPr>
              <w:t xml:space="preserve">CAL </w:t>
            </w:r>
            <w:r>
              <w:rPr>
                <w:rFonts w:ascii="仿宋_GB2312" w:eastAsia="仿宋_GB2312"/>
                <w:sz w:val="24"/>
                <w:szCs w:val="21"/>
              </w:rPr>
              <w:sym w:font="Wingdings 2" w:char="F052"/>
            </w:r>
            <w:r>
              <w:rPr>
                <w:rFonts w:hint="eastAsia" w:ascii="仿宋_GB2312" w:eastAsia="仿宋_GB2312"/>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4" w:type="dxa"/>
            <w:noWrap w:val="0"/>
            <w:vAlign w:val="center"/>
          </w:tcPr>
          <w:p>
            <w:pPr>
              <w:autoSpaceDE w:val="0"/>
              <w:autoSpaceDN w:val="0"/>
              <w:adjustRightInd w:val="0"/>
              <w:jc w:val="center"/>
              <w:rPr>
                <w:rFonts w:ascii="仿宋_GB2312" w:eastAsia="仿宋_GB2312" w:cs="FZHTK--GBK1-0"/>
                <w:kern w:val="0"/>
                <w:sz w:val="24"/>
              </w:rPr>
            </w:pPr>
            <w:r>
              <w:rPr>
                <w:rFonts w:hint="eastAsia" w:ascii="仿宋_GB2312" w:eastAsia="仿宋_GB2312" w:cs="FZHTK--GBK1-0"/>
                <w:kern w:val="0"/>
                <w:sz w:val="24"/>
              </w:rPr>
              <w:t>GB 14747-2006</w:t>
            </w:r>
          </w:p>
        </w:tc>
        <w:tc>
          <w:tcPr>
            <w:tcW w:w="4339" w:type="dxa"/>
            <w:noWrap w:val="0"/>
            <w:vAlign w:val="center"/>
          </w:tcPr>
          <w:p>
            <w:pPr>
              <w:autoSpaceDE w:val="0"/>
              <w:autoSpaceDN w:val="0"/>
              <w:adjustRightInd w:val="0"/>
              <w:jc w:val="center"/>
              <w:rPr>
                <w:rFonts w:ascii="仿宋_GB2312" w:eastAsia="仿宋_GB2312" w:cs="FZHTK--GBK1-0"/>
                <w:kern w:val="0"/>
                <w:sz w:val="24"/>
              </w:rPr>
            </w:pPr>
            <w:r>
              <w:rPr>
                <w:rFonts w:hint="eastAsia" w:ascii="仿宋_GB2312" w:eastAsia="仿宋_GB2312" w:cs="FZHTK--GBK1-0"/>
                <w:kern w:val="0"/>
                <w:sz w:val="24"/>
              </w:rPr>
              <w:t>儿童三轮车安全要求</w:t>
            </w:r>
          </w:p>
        </w:tc>
        <w:tc>
          <w:tcPr>
            <w:tcW w:w="2556" w:type="dxa"/>
            <w:noWrap w:val="0"/>
            <w:vAlign w:val="center"/>
          </w:tcPr>
          <w:p>
            <w:pPr>
              <w:snapToGrid w:val="0"/>
              <w:jc w:val="center"/>
              <w:rPr>
                <w:rFonts w:ascii="仿宋_GB2312" w:eastAsia="仿宋_GB2312"/>
                <w:sz w:val="24"/>
                <w:szCs w:val="21"/>
              </w:rPr>
            </w:pPr>
            <w:r>
              <w:rPr>
                <w:rFonts w:ascii="仿宋_GB2312" w:eastAsia="仿宋_GB2312"/>
                <w:sz w:val="24"/>
                <w:szCs w:val="21"/>
              </w:rPr>
              <w:sym w:font="Wingdings 2" w:char="F052"/>
            </w:r>
            <w:r>
              <w:rPr>
                <w:rFonts w:hint="eastAsia" w:ascii="仿宋_GB2312" w:eastAsia="仿宋_GB2312"/>
                <w:sz w:val="24"/>
                <w:szCs w:val="21"/>
              </w:rPr>
              <w:t xml:space="preserve">CMA  </w:t>
            </w:r>
            <w:r>
              <w:rPr>
                <w:rFonts w:ascii="仿宋_GB2312" w:eastAsia="仿宋_GB2312"/>
                <w:sz w:val="24"/>
                <w:szCs w:val="21"/>
              </w:rPr>
              <w:sym w:font="Wingdings 2" w:char="F052"/>
            </w:r>
            <w:r>
              <w:rPr>
                <w:rFonts w:hint="eastAsia" w:ascii="仿宋_GB2312" w:eastAsia="仿宋_GB2312"/>
                <w:sz w:val="24"/>
                <w:szCs w:val="21"/>
              </w:rPr>
              <w:t xml:space="preserve">CAL </w:t>
            </w:r>
            <w:r>
              <w:rPr>
                <w:rFonts w:ascii="仿宋_GB2312" w:eastAsia="仿宋_GB2312"/>
                <w:sz w:val="24"/>
                <w:szCs w:val="21"/>
              </w:rPr>
              <w:sym w:font="Wingdings 2" w:char="F052"/>
            </w:r>
            <w:r>
              <w:rPr>
                <w:rFonts w:hint="eastAsia" w:ascii="仿宋_GB2312" w:eastAsia="仿宋_GB2312"/>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4" w:type="dxa"/>
            <w:noWrap w:val="0"/>
            <w:vAlign w:val="center"/>
          </w:tcPr>
          <w:p>
            <w:pPr>
              <w:autoSpaceDE w:val="0"/>
              <w:autoSpaceDN w:val="0"/>
              <w:adjustRightInd w:val="0"/>
              <w:jc w:val="center"/>
              <w:rPr>
                <w:rFonts w:ascii="仿宋_GB2312" w:eastAsia="仿宋_GB2312" w:cs="FZHTK--GBK1-0"/>
                <w:kern w:val="0"/>
                <w:sz w:val="24"/>
              </w:rPr>
            </w:pPr>
            <w:r>
              <w:rPr>
                <w:rFonts w:hint="eastAsia" w:ascii="仿宋_GB2312" w:eastAsia="仿宋_GB2312" w:cs="FZHTK--GBK1-0"/>
                <w:kern w:val="0"/>
                <w:sz w:val="24"/>
              </w:rPr>
              <w:t>GB 14748-2006</w:t>
            </w:r>
          </w:p>
        </w:tc>
        <w:tc>
          <w:tcPr>
            <w:tcW w:w="4339" w:type="dxa"/>
            <w:noWrap w:val="0"/>
            <w:vAlign w:val="center"/>
          </w:tcPr>
          <w:p>
            <w:pPr>
              <w:autoSpaceDE w:val="0"/>
              <w:autoSpaceDN w:val="0"/>
              <w:adjustRightInd w:val="0"/>
              <w:jc w:val="center"/>
              <w:rPr>
                <w:rFonts w:ascii="仿宋_GB2312" w:eastAsia="仿宋_GB2312" w:cs="FZHTK--GBK1-0"/>
                <w:kern w:val="0"/>
                <w:sz w:val="24"/>
              </w:rPr>
            </w:pPr>
            <w:r>
              <w:rPr>
                <w:rFonts w:hint="eastAsia" w:ascii="仿宋_GB2312" w:eastAsia="仿宋_GB2312" w:cs="FZHTK--GBK1-0"/>
                <w:kern w:val="0"/>
                <w:sz w:val="24"/>
              </w:rPr>
              <w:t>儿童推车安全要求</w:t>
            </w:r>
          </w:p>
        </w:tc>
        <w:tc>
          <w:tcPr>
            <w:tcW w:w="2556" w:type="dxa"/>
            <w:noWrap w:val="0"/>
            <w:vAlign w:val="center"/>
          </w:tcPr>
          <w:p>
            <w:pPr>
              <w:snapToGrid w:val="0"/>
              <w:jc w:val="center"/>
              <w:rPr>
                <w:rFonts w:ascii="仿宋_GB2312" w:eastAsia="仿宋_GB2312"/>
                <w:sz w:val="24"/>
                <w:szCs w:val="21"/>
              </w:rPr>
            </w:pPr>
            <w:r>
              <w:rPr>
                <w:rFonts w:ascii="仿宋_GB2312" w:eastAsia="仿宋_GB2312"/>
                <w:sz w:val="24"/>
                <w:szCs w:val="21"/>
              </w:rPr>
              <w:sym w:font="Wingdings 2" w:char="F052"/>
            </w:r>
            <w:r>
              <w:rPr>
                <w:rFonts w:hint="eastAsia" w:ascii="仿宋_GB2312" w:eastAsia="仿宋_GB2312"/>
                <w:sz w:val="24"/>
                <w:szCs w:val="21"/>
              </w:rPr>
              <w:t xml:space="preserve">CMA  </w:t>
            </w:r>
            <w:r>
              <w:rPr>
                <w:rFonts w:ascii="仿宋_GB2312" w:eastAsia="仿宋_GB2312"/>
                <w:sz w:val="24"/>
                <w:szCs w:val="21"/>
              </w:rPr>
              <w:sym w:font="Wingdings 2" w:char="F052"/>
            </w:r>
            <w:r>
              <w:rPr>
                <w:rFonts w:hint="eastAsia" w:ascii="仿宋_GB2312" w:eastAsia="仿宋_GB2312"/>
                <w:sz w:val="24"/>
                <w:szCs w:val="21"/>
              </w:rPr>
              <w:t xml:space="preserve">CAL </w:t>
            </w:r>
            <w:r>
              <w:rPr>
                <w:rFonts w:ascii="仿宋_GB2312" w:eastAsia="仿宋_GB2312"/>
                <w:sz w:val="24"/>
                <w:szCs w:val="21"/>
              </w:rPr>
              <w:sym w:font="Wingdings 2" w:char="F052"/>
            </w:r>
            <w:r>
              <w:rPr>
                <w:rFonts w:hint="eastAsia" w:ascii="仿宋_GB2312" w:eastAsia="仿宋_GB2312"/>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4" w:type="dxa"/>
            <w:noWrap w:val="0"/>
            <w:vAlign w:val="center"/>
          </w:tcPr>
          <w:p>
            <w:pPr>
              <w:autoSpaceDE w:val="0"/>
              <w:autoSpaceDN w:val="0"/>
              <w:adjustRightInd w:val="0"/>
              <w:jc w:val="center"/>
              <w:rPr>
                <w:rFonts w:ascii="仿宋_GB2312" w:eastAsia="仿宋_GB2312" w:cs="FZHTK--GBK1-0"/>
                <w:kern w:val="0"/>
                <w:sz w:val="24"/>
              </w:rPr>
            </w:pPr>
            <w:r>
              <w:rPr>
                <w:rFonts w:hint="eastAsia" w:ascii="仿宋_GB2312" w:eastAsia="仿宋_GB2312" w:cs="FZHTK--GBK1-0"/>
                <w:kern w:val="0"/>
                <w:sz w:val="24"/>
              </w:rPr>
              <w:t>GB 14749-2006</w:t>
            </w:r>
          </w:p>
        </w:tc>
        <w:tc>
          <w:tcPr>
            <w:tcW w:w="4339" w:type="dxa"/>
            <w:noWrap w:val="0"/>
            <w:vAlign w:val="center"/>
          </w:tcPr>
          <w:p>
            <w:pPr>
              <w:autoSpaceDE w:val="0"/>
              <w:autoSpaceDN w:val="0"/>
              <w:adjustRightInd w:val="0"/>
              <w:jc w:val="center"/>
              <w:rPr>
                <w:rFonts w:ascii="仿宋_GB2312" w:eastAsia="仿宋_GB2312" w:cs="FZHTK--GBK1-0"/>
                <w:kern w:val="0"/>
                <w:sz w:val="24"/>
              </w:rPr>
            </w:pPr>
            <w:r>
              <w:rPr>
                <w:rFonts w:hint="eastAsia" w:ascii="仿宋_GB2312" w:eastAsia="仿宋_GB2312" w:cs="FZHTK--GBK1-0"/>
                <w:kern w:val="0"/>
                <w:sz w:val="24"/>
              </w:rPr>
              <w:t>婴儿学步车安全要求</w:t>
            </w:r>
          </w:p>
        </w:tc>
        <w:tc>
          <w:tcPr>
            <w:tcW w:w="2556" w:type="dxa"/>
            <w:noWrap w:val="0"/>
            <w:vAlign w:val="center"/>
          </w:tcPr>
          <w:p>
            <w:pPr>
              <w:snapToGrid w:val="0"/>
              <w:jc w:val="center"/>
              <w:rPr>
                <w:rFonts w:ascii="仿宋_GB2312" w:eastAsia="仿宋_GB2312"/>
                <w:sz w:val="24"/>
                <w:szCs w:val="21"/>
              </w:rPr>
            </w:pPr>
            <w:r>
              <w:rPr>
                <w:rFonts w:ascii="仿宋_GB2312" w:eastAsia="仿宋_GB2312"/>
                <w:sz w:val="24"/>
                <w:szCs w:val="21"/>
              </w:rPr>
              <w:sym w:font="Wingdings 2" w:char="F052"/>
            </w:r>
            <w:r>
              <w:rPr>
                <w:rFonts w:hint="eastAsia" w:ascii="仿宋_GB2312" w:eastAsia="仿宋_GB2312"/>
                <w:sz w:val="24"/>
                <w:szCs w:val="21"/>
              </w:rPr>
              <w:t xml:space="preserve">CMA  </w:t>
            </w:r>
            <w:r>
              <w:rPr>
                <w:rFonts w:ascii="仿宋_GB2312" w:eastAsia="仿宋_GB2312"/>
                <w:sz w:val="24"/>
                <w:szCs w:val="21"/>
              </w:rPr>
              <w:sym w:font="Wingdings 2" w:char="F052"/>
            </w:r>
            <w:r>
              <w:rPr>
                <w:rFonts w:hint="eastAsia" w:ascii="仿宋_GB2312" w:eastAsia="仿宋_GB2312"/>
                <w:sz w:val="24"/>
                <w:szCs w:val="21"/>
              </w:rPr>
              <w:t xml:space="preserve">CAL </w:t>
            </w:r>
            <w:r>
              <w:rPr>
                <w:rFonts w:ascii="仿宋_GB2312" w:eastAsia="仿宋_GB2312"/>
                <w:sz w:val="24"/>
                <w:szCs w:val="21"/>
              </w:rPr>
              <w:sym w:font="Wingdings 2" w:char="F052"/>
            </w:r>
            <w:r>
              <w:rPr>
                <w:rFonts w:hint="eastAsia" w:ascii="仿宋_GB2312" w:eastAsia="仿宋_GB2312"/>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4" w:type="dxa"/>
            <w:noWrap w:val="0"/>
            <w:vAlign w:val="center"/>
          </w:tcPr>
          <w:p>
            <w:pPr>
              <w:snapToGrid w:val="0"/>
              <w:jc w:val="center"/>
              <w:rPr>
                <w:rFonts w:ascii="仿宋_GB2312" w:eastAsia="仿宋_GB2312"/>
                <w:sz w:val="24"/>
                <w:szCs w:val="21"/>
              </w:rPr>
            </w:pPr>
            <w:r>
              <w:rPr>
                <w:rFonts w:hint="eastAsia" w:ascii="仿宋_GB2312" w:eastAsia="仿宋_GB2312"/>
                <w:sz w:val="24"/>
                <w:szCs w:val="21"/>
              </w:rPr>
              <w:t>GB 6675.1-2014</w:t>
            </w:r>
          </w:p>
        </w:tc>
        <w:tc>
          <w:tcPr>
            <w:tcW w:w="4339" w:type="dxa"/>
            <w:noWrap w:val="0"/>
            <w:vAlign w:val="center"/>
          </w:tcPr>
          <w:p>
            <w:pPr>
              <w:autoSpaceDE w:val="0"/>
              <w:autoSpaceDN w:val="0"/>
              <w:adjustRightInd w:val="0"/>
              <w:jc w:val="center"/>
              <w:rPr>
                <w:rFonts w:ascii="仿宋_GB2312" w:eastAsia="仿宋_GB2312"/>
                <w:sz w:val="24"/>
              </w:rPr>
            </w:pPr>
            <w:r>
              <w:rPr>
                <w:rFonts w:hint="eastAsia" w:ascii="仿宋_GB2312" w:eastAsia="仿宋_GB2312" w:cs="FZHTK--GBK1-0"/>
                <w:kern w:val="0"/>
                <w:sz w:val="24"/>
              </w:rPr>
              <w:t>玩具安全 第</w:t>
            </w:r>
            <w:r>
              <w:rPr>
                <w:rFonts w:hint="eastAsia" w:ascii="仿宋_GB2312" w:eastAsia="仿宋_GB2312" w:cs="E-FZ"/>
                <w:kern w:val="0"/>
                <w:sz w:val="24"/>
              </w:rPr>
              <w:t>1</w:t>
            </w:r>
            <w:r>
              <w:rPr>
                <w:rFonts w:hint="eastAsia" w:ascii="仿宋_GB2312" w:eastAsia="仿宋_GB2312" w:cs="FZHTK--GBK1-0"/>
                <w:kern w:val="0"/>
                <w:sz w:val="24"/>
              </w:rPr>
              <w:t>部分</w:t>
            </w:r>
            <w:r>
              <w:rPr>
                <w:rFonts w:hint="eastAsia" w:ascii="仿宋_GB2312" w:eastAsia="仿宋_GB2312" w:cs="E-BZ"/>
                <w:kern w:val="0"/>
                <w:sz w:val="24"/>
              </w:rPr>
              <w:t>:</w:t>
            </w:r>
            <w:r>
              <w:rPr>
                <w:rFonts w:hint="eastAsia" w:ascii="仿宋_GB2312" w:eastAsia="仿宋_GB2312" w:cs="FZHTK--GBK1-0"/>
                <w:kern w:val="0"/>
                <w:sz w:val="24"/>
              </w:rPr>
              <w:t>基本规范</w:t>
            </w:r>
          </w:p>
        </w:tc>
        <w:tc>
          <w:tcPr>
            <w:tcW w:w="2556" w:type="dxa"/>
            <w:noWrap w:val="0"/>
            <w:vAlign w:val="center"/>
          </w:tcPr>
          <w:p>
            <w:pPr>
              <w:snapToGrid w:val="0"/>
              <w:jc w:val="center"/>
              <w:rPr>
                <w:rFonts w:ascii="仿宋_GB2312" w:eastAsia="仿宋_GB2312"/>
                <w:sz w:val="24"/>
                <w:szCs w:val="21"/>
              </w:rPr>
            </w:pPr>
            <w:r>
              <w:rPr>
                <w:rFonts w:ascii="仿宋_GB2312" w:eastAsia="仿宋_GB2312"/>
                <w:sz w:val="24"/>
                <w:szCs w:val="21"/>
              </w:rPr>
              <w:sym w:font="Wingdings 2" w:char="F052"/>
            </w:r>
            <w:r>
              <w:rPr>
                <w:rFonts w:hint="eastAsia" w:ascii="仿宋_GB2312" w:eastAsia="仿宋_GB2312"/>
                <w:sz w:val="24"/>
                <w:szCs w:val="21"/>
              </w:rPr>
              <w:t xml:space="preserve">CMA  </w:t>
            </w:r>
            <w:r>
              <w:rPr>
                <w:rFonts w:ascii="仿宋_GB2312" w:eastAsia="仿宋_GB2312"/>
                <w:sz w:val="24"/>
                <w:szCs w:val="21"/>
              </w:rPr>
              <w:sym w:font="Wingdings 2" w:char="F052"/>
            </w:r>
            <w:r>
              <w:rPr>
                <w:rFonts w:hint="eastAsia" w:ascii="仿宋_GB2312" w:eastAsia="仿宋_GB2312"/>
                <w:sz w:val="24"/>
                <w:szCs w:val="21"/>
              </w:rPr>
              <w:t xml:space="preserve">CAL </w:t>
            </w:r>
            <w:r>
              <w:rPr>
                <w:rFonts w:ascii="仿宋_GB2312" w:eastAsia="仿宋_GB2312"/>
                <w:sz w:val="24"/>
                <w:szCs w:val="21"/>
              </w:rPr>
              <w:sym w:font="Wingdings 2" w:char="F052"/>
            </w:r>
            <w:r>
              <w:rPr>
                <w:rFonts w:hint="eastAsia" w:ascii="仿宋_GB2312" w:eastAsia="仿宋_GB2312"/>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4" w:type="dxa"/>
            <w:noWrap w:val="0"/>
            <w:vAlign w:val="center"/>
          </w:tcPr>
          <w:p>
            <w:pPr>
              <w:snapToGrid w:val="0"/>
              <w:jc w:val="center"/>
              <w:rPr>
                <w:rFonts w:ascii="仿宋_GB2312" w:eastAsia="仿宋_GB2312"/>
                <w:sz w:val="24"/>
                <w:szCs w:val="21"/>
              </w:rPr>
            </w:pPr>
            <w:r>
              <w:rPr>
                <w:rFonts w:hint="eastAsia" w:ascii="仿宋_GB2312" w:eastAsia="仿宋_GB2312"/>
                <w:sz w:val="24"/>
                <w:szCs w:val="21"/>
              </w:rPr>
              <w:t>GB 6675.2-2014</w:t>
            </w:r>
          </w:p>
        </w:tc>
        <w:tc>
          <w:tcPr>
            <w:tcW w:w="4339" w:type="dxa"/>
            <w:noWrap w:val="0"/>
            <w:vAlign w:val="center"/>
          </w:tcPr>
          <w:p>
            <w:pPr>
              <w:snapToGrid w:val="0"/>
              <w:jc w:val="center"/>
              <w:rPr>
                <w:rFonts w:ascii="仿宋_GB2312" w:eastAsia="仿宋_GB2312"/>
                <w:sz w:val="24"/>
              </w:rPr>
            </w:pPr>
            <w:r>
              <w:rPr>
                <w:rFonts w:hint="eastAsia" w:ascii="仿宋_GB2312" w:eastAsia="仿宋_GB2312" w:cs="FZHTK--GBK1-0"/>
                <w:kern w:val="0"/>
                <w:sz w:val="24"/>
              </w:rPr>
              <w:t>玩具安全 第</w:t>
            </w:r>
            <w:r>
              <w:rPr>
                <w:rFonts w:hint="eastAsia" w:ascii="仿宋_GB2312" w:eastAsia="仿宋_GB2312" w:cs="E-FZ"/>
                <w:kern w:val="0"/>
                <w:sz w:val="24"/>
              </w:rPr>
              <w:t>2</w:t>
            </w:r>
            <w:r>
              <w:rPr>
                <w:rFonts w:hint="eastAsia" w:ascii="仿宋_GB2312" w:eastAsia="仿宋_GB2312" w:cs="FZHTK--GBK1-0"/>
                <w:kern w:val="0"/>
                <w:sz w:val="24"/>
              </w:rPr>
              <w:t>部分</w:t>
            </w:r>
            <w:r>
              <w:rPr>
                <w:rFonts w:hint="eastAsia" w:ascii="仿宋_GB2312" w:eastAsia="仿宋_GB2312" w:cs="E-BZ"/>
                <w:kern w:val="0"/>
                <w:sz w:val="24"/>
              </w:rPr>
              <w:t>:</w:t>
            </w:r>
            <w:r>
              <w:rPr>
                <w:rFonts w:hint="eastAsia" w:ascii="仿宋_GB2312" w:eastAsia="仿宋_GB2312" w:cs="FZHTK--GBK1-0"/>
                <w:kern w:val="0"/>
                <w:sz w:val="24"/>
              </w:rPr>
              <w:t>机械与物理性能</w:t>
            </w:r>
          </w:p>
        </w:tc>
        <w:tc>
          <w:tcPr>
            <w:tcW w:w="2556" w:type="dxa"/>
            <w:noWrap w:val="0"/>
            <w:vAlign w:val="center"/>
          </w:tcPr>
          <w:p>
            <w:pPr>
              <w:snapToGrid w:val="0"/>
              <w:jc w:val="center"/>
              <w:rPr>
                <w:rFonts w:ascii="仿宋_GB2312" w:eastAsia="仿宋_GB2312"/>
                <w:sz w:val="24"/>
                <w:szCs w:val="21"/>
              </w:rPr>
            </w:pPr>
            <w:r>
              <w:rPr>
                <w:rFonts w:ascii="仿宋_GB2312" w:eastAsia="仿宋_GB2312"/>
                <w:sz w:val="24"/>
                <w:szCs w:val="21"/>
              </w:rPr>
              <w:sym w:font="Wingdings 2" w:char="F052"/>
            </w:r>
            <w:r>
              <w:rPr>
                <w:rFonts w:hint="eastAsia" w:ascii="仿宋_GB2312" w:eastAsia="仿宋_GB2312"/>
                <w:sz w:val="24"/>
                <w:szCs w:val="21"/>
              </w:rPr>
              <w:t xml:space="preserve">CMA  </w:t>
            </w:r>
            <w:r>
              <w:rPr>
                <w:rFonts w:ascii="仿宋_GB2312" w:eastAsia="仿宋_GB2312"/>
                <w:sz w:val="24"/>
                <w:szCs w:val="21"/>
              </w:rPr>
              <w:sym w:font="Wingdings 2" w:char="F052"/>
            </w:r>
            <w:r>
              <w:rPr>
                <w:rFonts w:hint="eastAsia" w:ascii="仿宋_GB2312" w:eastAsia="仿宋_GB2312"/>
                <w:sz w:val="24"/>
                <w:szCs w:val="21"/>
              </w:rPr>
              <w:t xml:space="preserve">CAL </w:t>
            </w:r>
            <w:r>
              <w:rPr>
                <w:rFonts w:ascii="仿宋_GB2312" w:eastAsia="仿宋_GB2312"/>
                <w:sz w:val="24"/>
                <w:szCs w:val="21"/>
              </w:rPr>
              <w:sym w:font="Wingdings 2" w:char="F052"/>
            </w:r>
            <w:r>
              <w:rPr>
                <w:rFonts w:hint="eastAsia" w:ascii="仿宋_GB2312" w:eastAsia="仿宋_GB2312"/>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4" w:type="dxa"/>
            <w:noWrap w:val="0"/>
            <w:vAlign w:val="center"/>
          </w:tcPr>
          <w:p>
            <w:pPr>
              <w:snapToGrid w:val="0"/>
              <w:jc w:val="center"/>
              <w:rPr>
                <w:rFonts w:ascii="仿宋_GB2312" w:eastAsia="仿宋_GB2312"/>
                <w:sz w:val="24"/>
                <w:szCs w:val="21"/>
              </w:rPr>
            </w:pPr>
            <w:r>
              <w:rPr>
                <w:rFonts w:hint="eastAsia" w:ascii="仿宋_GB2312" w:eastAsia="仿宋_GB2312"/>
                <w:sz w:val="24"/>
                <w:szCs w:val="21"/>
              </w:rPr>
              <w:t>GB 6675.3-2014</w:t>
            </w:r>
          </w:p>
        </w:tc>
        <w:tc>
          <w:tcPr>
            <w:tcW w:w="4339" w:type="dxa"/>
            <w:noWrap w:val="0"/>
            <w:vAlign w:val="center"/>
          </w:tcPr>
          <w:p>
            <w:pPr>
              <w:snapToGrid w:val="0"/>
              <w:jc w:val="center"/>
              <w:rPr>
                <w:rFonts w:ascii="仿宋_GB2312" w:eastAsia="仿宋_GB2312"/>
                <w:sz w:val="24"/>
              </w:rPr>
            </w:pPr>
            <w:r>
              <w:rPr>
                <w:rFonts w:hint="eastAsia" w:ascii="仿宋_GB2312" w:eastAsia="仿宋_GB2312" w:cs="FZHTK--GBK1-0"/>
                <w:kern w:val="0"/>
                <w:sz w:val="24"/>
              </w:rPr>
              <w:t>玩具安全 第</w:t>
            </w:r>
            <w:r>
              <w:rPr>
                <w:rFonts w:hint="eastAsia" w:ascii="仿宋_GB2312" w:eastAsia="仿宋_GB2312" w:cs="E-FZ"/>
                <w:kern w:val="0"/>
                <w:sz w:val="24"/>
              </w:rPr>
              <w:t>3</w:t>
            </w:r>
            <w:r>
              <w:rPr>
                <w:rFonts w:hint="eastAsia" w:ascii="仿宋_GB2312" w:eastAsia="仿宋_GB2312" w:cs="FZHTK--GBK1-0"/>
                <w:kern w:val="0"/>
                <w:sz w:val="24"/>
              </w:rPr>
              <w:t>部分</w:t>
            </w:r>
            <w:r>
              <w:rPr>
                <w:rFonts w:hint="eastAsia" w:ascii="仿宋_GB2312" w:eastAsia="仿宋_GB2312" w:cs="E-BZ"/>
                <w:kern w:val="0"/>
                <w:sz w:val="24"/>
              </w:rPr>
              <w:t>:</w:t>
            </w:r>
            <w:r>
              <w:rPr>
                <w:rFonts w:hint="eastAsia" w:ascii="仿宋_GB2312" w:eastAsia="仿宋_GB2312" w:cs="FZHTK--GBK1-0"/>
                <w:kern w:val="0"/>
                <w:sz w:val="24"/>
              </w:rPr>
              <w:t>易燃性能</w:t>
            </w:r>
          </w:p>
        </w:tc>
        <w:tc>
          <w:tcPr>
            <w:tcW w:w="2556" w:type="dxa"/>
            <w:noWrap w:val="0"/>
            <w:vAlign w:val="center"/>
          </w:tcPr>
          <w:p>
            <w:pPr>
              <w:snapToGrid w:val="0"/>
              <w:jc w:val="center"/>
              <w:rPr>
                <w:rFonts w:ascii="仿宋_GB2312" w:eastAsia="仿宋_GB2312"/>
                <w:sz w:val="24"/>
                <w:szCs w:val="21"/>
              </w:rPr>
            </w:pPr>
            <w:r>
              <w:rPr>
                <w:rFonts w:ascii="仿宋_GB2312" w:eastAsia="仿宋_GB2312"/>
                <w:sz w:val="24"/>
                <w:szCs w:val="21"/>
              </w:rPr>
              <w:sym w:font="Wingdings 2" w:char="F052"/>
            </w:r>
            <w:r>
              <w:rPr>
                <w:rFonts w:hint="eastAsia" w:ascii="仿宋_GB2312" w:eastAsia="仿宋_GB2312"/>
                <w:sz w:val="24"/>
                <w:szCs w:val="21"/>
              </w:rPr>
              <w:t xml:space="preserve">CMA  </w:t>
            </w:r>
            <w:r>
              <w:rPr>
                <w:rFonts w:ascii="仿宋_GB2312" w:eastAsia="仿宋_GB2312"/>
                <w:sz w:val="24"/>
                <w:szCs w:val="21"/>
              </w:rPr>
              <w:sym w:font="Wingdings 2" w:char="F052"/>
            </w:r>
            <w:r>
              <w:rPr>
                <w:rFonts w:hint="eastAsia" w:ascii="仿宋_GB2312" w:eastAsia="仿宋_GB2312"/>
                <w:sz w:val="24"/>
                <w:szCs w:val="21"/>
              </w:rPr>
              <w:t xml:space="preserve">CAL </w:t>
            </w:r>
            <w:r>
              <w:rPr>
                <w:rFonts w:ascii="仿宋_GB2312" w:eastAsia="仿宋_GB2312"/>
                <w:sz w:val="24"/>
                <w:szCs w:val="21"/>
              </w:rPr>
              <w:sym w:font="Wingdings 2" w:char="F052"/>
            </w:r>
            <w:r>
              <w:rPr>
                <w:rFonts w:hint="eastAsia" w:ascii="仿宋_GB2312" w:eastAsia="仿宋_GB2312"/>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4" w:type="dxa"/>
            <w:noWrap w:val="0"/>
            <w:vAlign w:val="center"/>
          </w:tcPr>
          <w:p>
            <w:pPr>
              <w:snapToGrid w:val="0"/>
              <w:jc w:val="center"/>
              <w:rPr>
                <w:rFonts w:ascii="仿宋_GB2312" w:eastAsia="仿宋_GB2312"/>
                <w:sz w:val="24"/>
                <w:szCs w:val="21"/>
              </w:rPr>
            </w:pPr>
            <w:r>
              <w:rPr>
                <w:rFonts w:hint="eastAsia" w:ascii="仿宋_GB2312" w:eastAsia="仿宋_GB2312"/>
                <w:sz w:val="24"/>
                <w:szCs w:val="21"/>
              </w:rPr>
              <w:t>GB 6675.4-2014</w:t>
            </w:r>
          </w:p>
        </w:tc>
        <w:tc>
          <w:tcPr>
            <w:tcW w:w="4339" w:type="dxa"/>
            <w:noWrap w:val="0"/>
            <w:vAlign w:val="center"/>
          </w:tcPr>
          <w:p>
            <w:pPr>
              <w:snapToGrid w:val="0"/>
              <w:jc w:val="center"/>
              <w:rPr>
                <w:rFonts w:ascii="仿宋_GB2312" w:eastAsia="仿宋_GB2312"/>
                <w:sz w:val="24"/>
              </w:rPr>
            </w:pPr>
            <w:r>
              <w:rPr>
                <w:rFonts w:hint="eastAsia" w:ascii="仿宋_GB2312" w:eastAsia="仿宋_GB2312" w:cs="FZHTK--GBK1-0"/>
                <w:kern w:val="0"/>
                <w:sz w:val="24"/>
              </w:rPr>
              <w:t>玩具安全 第</w:t>
            </w:r>
            <w:r>
              <w:rPr>
                <w:rFonts w:hint="eastAsia" w:ascii="仿宋_GB2312" w:eastAsia="仿宋_GB2312" w:cs="E-FZ"/>
                <w:kern w:val="0"/>
                <w:sz w:val="24"/>
              </w:rPr>
              <w:t>4</w:t>
            </w:r>
            <w:r>
              <w:rPr>
                <w:rFonts w:hint="eastAsia" w:ascii="仿宋_GB2312" w:eastAsia="仿宋_GB2312" w:cs="FZHTK--GBK1-0"/>
                <w:kern w:val="0"/>
                <w:sz w:val="24"/>
              </w:rPr>
              <w:t>部分</w:t>
            </w:r>
            <w:r>
              <w:rPr>
                <w:rFonts w:hint="eastAsia" w:ascii="仿宋_GB2312" w:eastAsia="仿宋_GB2312" w:cs="E-BZ"/>
                <w:kern w:val="0"/>
                <w:sz w:val="24"/>
              </w:rPr>
              <w:t>:</w:t>
            </w:r>
            <w:r>
              <w:rPr>
                <w:rFonts w:hint="eastAsia" w:ascii="仿宋_GB2312" w:eastAsia="仿宋_GB2312" w:cs="FZHTK--GBK1-0"/>
                <w:kern w:val="0"/>
                <w:sz w:val="24"/>
              </w:rPr>
              <w:t>特定元素的迁移</w:t>
            </w:r>
          </w:p>
        </w:tc>
        <w:tc>
          <w:tcPr>
            <w:tcW w:w="2556" w:type="dxa"/>
            <w:noWrap w:val="0"/>
            <w:vAlign w:val="center"/>
          </w:tcPr>
          <w:p>
            <w:pPr>
              <w:snapToGrid w:val="0"/>
              <w:jc w:val="center"/>
              <w:rPr>
                <w:rFonts w:ascii="仿宋_GB2312" w:eastAsia="仿宋_GB2312"/>
                <w:sz w:val="24"/>
                <w:szCs w:val="21"/>
              </w:rPr>
            </w:pPr>
            <w:r>
              <w:rPr>
                <w:rFonts w:ascii="仿宋_GB2312" w:eastAsia="仿宋_GB2312"/>
                <w:sz w:val="24"/>
                <w:szCs w:val="21"/>
              </w:rPr>
              <w:sym w:font="Wingdings 2" w:char="F052"/>
            </w:r>
            <w:r>
              <w:rPr>
                <w:rFonts w:hint="eastAsia" w:ascii="仿宋_GB2312" w:eastAsia="仿宋_GB2312"/>
                <w:sz w:val="24"/>
                <w:szCs w:val="21"/>
              </w:rPr>
              <w:t xml:space="preserve">CMA  </w:t>
            </w:r>
            <w:r>
              <w:rPr>
                <w:rFonts w:ascii="仿宋_GB2312" w:eastAsia="仿宋_GB2312"/>
                <w:sz w:val="24"/>
                <w:szCs w:val="21"/>
              </w:rPr>
              <w:sym w:font="Wingdings 2" w:char="F052"/>
            </w:r>
            <w:r>
              <w:rPr>
                <w:rFonts w:hint="eastAsia" w:ascii="仿宋_GB2312" w:eastAsia="仿宋_GB2312"/>
                <w:sz w:val="24"/>
                <w:szCs w:val="21"/>
              </w:rPr>
              <w:t xml:space="preserve">CAL </w:t>
            </w:r>
            <w:r>
              <w:rPr>
                <w:rFonts w:ascii="仿宋_GB2312" w:eastAsia="仿宋_GB2312"/>
                <w:sz w:val="24"/>
                <w:szCs w:val="21"/>
              </w:rPr>
              <w:sym w:font="Wingdings 2" w:char="F052"/>
            </w:r>
            <w:r>
              <w:rPr>
                <w:rFonts w:hint="eastAsia" w:ascii="仿宋_GB2312" w:eastAsia="仿宋_GB2312"/>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4" w:type="dxa"/>
            <w:noWrap w:val="0"/>
            <w:vAlign w:val="center"/>
          </w:tcPr>
          <w:p>
            <w:pPr>
              <w:pStyle w:val="3"/>
              <w:jc w:val="center"/>
              <w:rPr>
                <w:rFonts w:ascii="仿宋_GB2312" w:eastAsia="仿宋_GB2312"/>
              </w:rPr>
            </w:pPr>
            <w:r>
              <w:rPr>
                <w:rFonts w:ascii="仿宋_GB2312" w:eastAsia="仿宋_GB2312"/>
              </w:rPr>
              <w:t>GB</w:t>
            </w:r>
            <w:r>
              <w:rPr>
                <w:rFonts w:hint="eastAsia" w:ascii="仿宋_GB2312" w:eastAsia="仿宋_GB2312"/>
              </w:rPr>
              <w:t xml:space="preserve"> </w:t>
            </w:r>
            <w:r>
              <w:rPr>
                <w:rFonts w:ascii="仿宋_GB2312" w:eastAsia="仿宋_GB2312"/>
              </w:rPr>
              <w:t>6675.12-2014</w:t>
            </w:r>
          </w:p>
        </w:tc>
        <w:tc>
          <w:tcPr>
            <w:tcW w:w="4339" w:type="dxa"/>
            <w:noWrap w:val="0"/>
            <w:vAlign w:val="center"/>
          </w:tcPr>
          <w:p>
            <w:pPr>
              <w:pStyle w:val="3"/>
              <w:jc w:val="center"/>
              <w:rPr>
                <w:rFonts w:ascii="仿宋_GB2312" w:eastAsia="仿宋_GB2312"/>
              </w:rPr>
            </w:pPr>
            <w:r>
              <w:rPr>
                <w:rFonts w:ascii="仿宋_GB2312" w:eastAsia="仿宋_GB2312"/>
              </w:rPr>
              <w:t>玩具安全 第12部分:玩具滑板车</w:t>
            </w:r>
          </w:p>
        </w:tc>
        <w:tc>
          <w:tcPr>
            <w:tcW w:w="2556" w:type="dxa"/>
            <w:noWrap w:val="0"/>
            <w:vAlign w:val="center"/>
          </w:tcPr>
          <w:p>
            <w:pPr>
              <w:jc w:val="center"/>
              <w:rPr>
                <w:rFonts w:ascii="仿宋_GB2312" w:hAnsi="宋体" w:eastAsia="仿宋_GB2312"/>
                <w:sz w:val="24"/>
              </w:rPr>
            </w:pPr>
            <w:r>
              <w:rPr>
                <w:rFonts w:hint="eastAsia" w:ascii="仿宋_GB2312" w:hAnsi="宋体" w:eastAsia="仿宋_GB2312"/>
                <w:sz w:val="24"/>
              </w:rPr>
              <w:sym w:font="Wingdings 2" w:char="F052"/>
            </w:r>
            <w:r>
              <w:rPr>
                <w:rFonts w:hint="eastAsia" w:ascii="仿宋_GB2312" w:hAnsi="宋体" w:eastAsia="仿宋_GB2312"/>
                <w:sz w:val="24"/>
              </w:rPr>
              <w:t xml:space="preserve">CMA  </w:t>
            </w:r>
            <w:r>
              <w:rPr>
                <w:rFonts w:hint="eastAsia" w:ascii="仿宋_GB2312" w:hAnsi="宋体" w:eastAsia="仿宋_GB2312"/>
                <w:sz w:val="24"/>
              </w:rPr>
              <w:sym w:font="Wingdings 2" w:char="F052"/>
            </w:r>
            <w:r>
              <w:rPr>
                <w:rFonts w:hint="eastAsia" w:ascii="仿宋_GB2312" w:hAnsi="宋体" w:eastAsia="仿宋_GB2312"/>
                <w:sz w:val="24"/>
              </w:rPr>
              <w:t xml:space="preserve">CAL </w:t>
            </w:r>
            <w:r>
              <w:rPr>
                <w:rFonts w:hint="eastAsia" w:ascii="仿宋_GB2312" w:hAnsi="宋体" w:eastAsia="仿宋_GB2312"/>
                <w:sz w:val="24"/>
              </w:rPr>
              <w:sym w:font="Wingdings 2" w:char="F052"/>
            </w:r>
            <w:r>
              <w:rPr>
                <w:rFonts w:hint="eastAsia" w:ascii="仿宋_GB2312" w:hAnsi="宋体" w:eastAsia="仿宋_GB2312"/>
                <w:sz w:val="24"/>
              </w:rPr>
              <w:t>CNAS</w:t>
            </w:r>
          </w:p>
        </w:tc>
      </w:tr>
    </w:tbl>
    <w:p>
      <w:pPr>
        <w:snapToGrid w:val="0"/>
        <w:spacing w:line="360" w:lineRule="auto"/>
        <w:ind w:firstLine="548" w:firstLineChars="196"/>
        <w:rPr>
          <w:rFonts w:ascii="仿宋_GB2312" w:hAnsi="宋体" w:eastAsia="仿宋_GB2312"/>
          <w:sz w:val="28"/>
          <w:szCs w:val="28"/>
        </w:rPr>
      </w:pPr>
      <w:r>
        <w:rPr>
          <w:rFonts w:hint="eastAsia" w:ascii="仿宋_GB2312" w:hAnsi="宋体" w:eastAsia="仿宋_GB2312"/>
          <w:sz w:val="28"/>
          <w:szCs w:val="28"/>
        </w:rPr>
        <w:t>相关的产品强制性标准、行业标准、政府法规及产品的明示标准和明示担保内容。</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5 抽样</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5.1 抽样型号或规格</w:t>
      </w:r>
    </w:p>
    <w:p>
      <w:pPr>
        <w:snapToGrid w:val="0"/>
        <w:spacing w:line="360" w:lineRule="auto"/>
        <w:ind w:firstLine="537" w:firstLineChars="192"/>
        <w:rPr>
          <w:rFonts w:ascii="仿宋_GB2312" w:hAnsi="宋体" w:eastAsia="仿宋_GB2312"/>
          <w:sz w:val="28"/>
          <w:szCs w:val="28"/>
        </w:rPr>
      </w:pPr>
      <w:r>
        <w:rPr>
          <w:rFonts w:hint="eastAsia" w:ascii="仿宋_GB2312" w:hAnsi="宋体" w:eastAsia="仿宋_GB2312"/>
          <w:sz w:val="28"/>
          <w:szCs w:val="28"/>
        </w:rPr>
        <w:t>抽取样品须为同一型号规格，同一批次的产品。</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5.2 取样方式</w:t>
      </w:r>
    </w:p>
    <w:p>
      <w:pPr>
        <w:snapToGrid w:val="0"/>
        <w:spacing w:line="540" w:lineRule="exact"/>
        <w:ind w:firstLine="562" w:firstLineChars="200"/>
        <w:rPr>
          <w:rFonts w:ascii="仿宋_GB2312" w:hAnsi="宋体" w:eastAsia="仿宋_GB2312"/>
          <w:sz w:val="28"/>
          <w:szCs w:val="28"/>
        </w:rPr>
      </w:pPr>
      <w:r>
        <w:rPr>
          <w:rFonts w:hint="eastAsia" w:ascii="仿宋_GB2312" w:hAnsi="宋体" w:eastAsia="仿宋_GB2312"/>
          <w:b/>
          <w:bCs/>
          <w:sz w:val="28"/>
          <w:szCs w:val="28"/>
        </w:rPr>
        <w:t>生产领域：</w:t>
      </w:r>
      <w:r>
        <w:rPr>
          <w:rFonts w:hint="eastAsia" w:ascii="仿宋_GB2312" w:hAnsi="宋体" w:eastAsia="仿宋_GB2312"/>
          <w:sz w:val="28"/>
          <w:szCs w:val="28"/>
        </w:rPr>
        <w:t>在生产企业的成品库内、生产线末端随机抽取经企业检验合格或以任何方式表明已检验合格的并在国内销售的成品。在生产企业抽样，检验样品原则上以向企业购样为主，备用样品由被抽样企业先行无偿提供，并</w:t>
      </w:r>
      <w:r>
        <w:rPr>
          <w:rFonts w:ascii="仿宋_GB2312" w:hAnsi="宋体" w:eastAsia="仿宋_GB2312"/>
          <w:sz w:val="28"/>
          <w:szCs w:val="28"/>
        </w:rPr>
        <w:t>向被抽样企业提交</w:t>
      </w:r>
      <w:r>
        <w:rPr>
          <w:rFonts w:hint="eastAsia" w:ascii="仿宋_GB2312" w:hAnsi="宋体" w:eastAsia="仿宋_GB2312"/>
          <w:sz w:val="28"/>
          <w:szCs w:val="28"/>
        </w:rPr>
        <w:t>《无偿提供样品通知书》及</w:t>
      </w:r>
      <w:r>
        <w:rPr>
          <w:rFonts w:ascii="仿宋_GB2312" w:hAnsi="宋体" w:eastAsia="仿宋_GB2312"/>
          <w:sz w:val="28"/>
          <w:szCs w:val="28"/>
        </w:rPr>
        <w:t>《退样通知书》，被抽样企业可凭《退样通知书》并按相关规定退回无偿提供的样品。</w:t>
      </w:r>
    </w:p>
    <w:p>
      <w:pPr>
        <w:snapToGrid w:val="0"/>
        <w:spacing w:line="540" w:lineRule="exact"/>
        <w:ind w:firstLine="562" w:firstLineChars="200"/>
        <w:rPr>
          <w:rFonts w:ascii="仿宋_GB2312" w:hAnsi="宋体" w:eastAsia="仿宋_GB2312"/>
          <w:b/>
          <w:bCs/>
          <w:sz w:val="28"/>
          <w:szCs w:val="28"/>
        </w:rPr>
      </w:pPr>
      <w:r>
        <w:rPr>
          <w:rFonts w:hint="eastAsia" w:ascii="仿宋_GB2312" w:hAnsi="宋体" w:eastAsia="仿宋_GB2312"/>
          <w:b/>
          <w:bCs/>
          <w:sz w:val="28"/>
          <w:szCs w:val="28"/>
        </w:rPr>
        <w:t>流通领域：在流通领域抽样可在实体店以及网络交易平台两种途径获得样品。</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1.实体店：在市场上随机抽取经企业检验合格或以任何方式表明已检验合格的并在国内销售的成品。在经销企业抽样，检验样品原则上以向商家购样为主，备用样品由商家先行无偿提供，并</w:t>
      </w:r>
      <w:r>
        <w:rPr>
          <w:rFonts w:ascii="仿宋_GB2312" w:hAnsi="宋体" w:eastAsia="仿宋_GB2312"/>
          <w:sz w:val="28"/>
          <w:szCs w:val="28"/>
        </w:rPr>
        <w:t>向被抽样企业提交</w:t>
      </w:r>
      <w:r>
        <w:rPr>
          <w:rFonts w:hint="eastAsia" w:ascii="仿宋_GB2312" w:hAnsi="宋体" w:eastAsia="仿宋_GB2312"/>
          <w:sz w:val="28"/>
          <w:szCs w:val="28"/>
        </w:rPr>
        <w:t>《无偿提供样品通知书》及</w:t>
      </w:r>
      <w:r>
        <w:rPr>
          <w:rFonts w:ascii="仿宋_GB2312" w:hAnsi="宋体" w:eastAsia="仿宋_GB2312"/>
          <w:sz w:val="28"/>
          <w:szCs w:val="28"/>
        </w:rPr>
        <w:t>《退样通知书》，被抽样企业可凭《退样通知书》并按相关规定退回无偿提供的样品。</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2.网络交易平台：若网络交易平台是在深圳市登记注册的，可对该平台的自营商品进行抽检。若网络交易平台不在深圳市登记注册的，仅可对其平台上在深圳市依法登记的经营者销售的商品进行抽检。在网络交易平台抽样，检验样品以及备用样品原则上均以向商家购样为主。</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5.3 抽样基数</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在生产企业和市场上抽样时，抽样基数应不少于抽取样品量。</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5.4 抽样数量</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生产领域：随机抽取同一规格型号的3台样品，2台作为检验样品带回承检单位，1台作为备用样品封存于承检单位；</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流通领域（实体店）：随机抽取同一规格型号的3台样品，2台作为检验样品带回承检单位，1台作为备用样品封存于承检单位。</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流通领域（网络交易平台）：随机抽取同一规格型号的3台样品，2台作为检验样品带回承检单位，1台作为备用样品封存于承检单位。</w:t>
      </w:r>
    </w:p>
    <w:p>
      <w:pPr>
        <w:snapToGrid w:val="0"/>
        <w:spacing w:line="540" w:lineRule="exact"/>
        <w:rPr>
          <w:rFonts w:ascii="仿宋_GB2312" w:hAnsi="宋体" w:eastAsia="仿宋_GB2312"/>
          <w:b/>
          <w:bCs/>
          <w:sz w:val="28"/>
          <w:szCs w:val="28"/>
        </w:rPr>
      </w:pPr>
      <w:r>
        <w:rPr>
          <w:rFonts w:hint="eastAsia" w:ascii="仿宋_GB2312" w:hAnsi="宋体" w:eastAsia="仿宋_GB2312"/>
          <w:b/>
          <w:bCs/>
          <w:sz w:val="28"/>
          <w:szCs w:val="28"/>
        </w:rPr>
        <w:t>5.5 取样要求</w:t>
      </w:r>
    </w:p>
    <w:p>
      <w:pPr>
        <w:snapToGrid w:val="0"/>
        <w:spacing w:line="540" w:lineRule="exact"/>
        <w:rPr>
          <w:rFonts w:ascii="仿宋_GB2312" w:hAnsi="宋体" w:eastAsia="仿宋_GB2312"/>
          <w:sz w:val="28"/>
          <w:szCs w:val="28"/>
        </w:rPr>
      </w:pPr>
      <w:r>
        <w:rPr>
          <w:rFonts w:hint="eastAsia" w:ascii="仿宋_GB2312" w:hAnsi="宋体" w:eastAsia="仿宋_GB2312"/>
          <w:b/>
          <w:bCs/>
          <w:sz w:val="28"/>
          <w:szCs w:val="28"/>
        </w:rPr>
        <w:t>5.5.1</w:t>
      </w:r>
      <w:r>
        <w:rPr>
          <w:rFonts w:hint="eastAsia" w:ascii="仿宋_GB2312" w:hAnsi="宋体" w:eastAsia="仿宋_GB2312"/>
          <w:sz w:val="28"/>
          <w:szCs w:val="28"/>
        </w:rPr>
        <w:t xml:space="preserve"> 样品应当由抽样人员在被抽样生产者、销售者的代销产品中随机抽取，不得由被抽样生产者、销售者自行抽样。</w:t>
      </w:r>
    </w:p>
    <w:p>
      <w:pPr>
        <w:snapToGrid w:val="0"/>
        <w:spacing w:line="540" w:lineRule="exact"/>
        <w:rPr>
          <w:rFonts w:ascii="仿宋_GB2312" w:hAnsi="宋体" w:eastAsia="仿宋_GB2312"/>
          <w:sz w:val="28"/>
          <w:szCs w:val="28"/>
        </w:rPr>
      </w:pPr>
      <w:r>
        <w:rPr>
          <w:rFonts w:hint="eastAsia" w:ascii="仿宋_GB2312" w:hAnsi="宋体" w:eastAsia="仿宋_GB2312"/>
          <w:b/>
          <w:bCs/>
          <w:sz w:val="28"/>
          <w:szCs w:val="28"/>
        </w:rPr>
        <w:t>5.5.2</w:t>
      </w:r>
      <w:r>
        <w:rPr>
          <w:rFonts w:hint="eastAsia" w:ascii="仿宋_GB2312" w:hAnsi="宋体" w:eastAsia="仿宋_GB2312"/>
          <w:sz w:val="28"/>
          <w:szCs w:val="28"/>
        </w:rPr>
        <w:t xml:space="preserve"> 抽样人员发现被抽样生产者、销售者涉嫌存在无证无照等无需检验即可判定违法的情形的，应当终止抽样，立即报告组织监督抽查的市场监督管理部门，并同时报告涉嫌违法的被抽样生产者、销售者所在地县级市场监督管理部门。</w:t>
      </w:r>
    </w:p>
    <w:p>
      <w:pPr>
        <w:snapToGrid w:val="0"/>
        <w:spacing w:line="540" w:lineRule="exact"/>
        <w:rPr>
          <w:rFonts w:ascii="仿宋_GB2312" w:hAnsi="宋体" w:eastAsia="仿宋_GB2312"/>
          <w:sz w:val="28"/>
          <w:szCs w:val="28"/>
        </w:rPr>
      </w:pPr>
      <w:r>
        <w:rPr>
          <w:rFonts w:hint="eastAsia" w:ascii="仿宋_GB2312" w:hAnsi="宋体" w:eastAsia="仿宋_GB2312"/>
          <w:b/>
          <w:bCs/>
          <w:sz w:val="28"/>
          <w:szCs w:val="28"/>
        </w:rPr>
        <w:t>5.5.3</w:t>
      </w:r>
      <w:r>
        <w:rPr>
          <w:rFonts w:hint="eastAsia" w:ascii="仿宋_GB2312" w:hAnsi="宋体" w:eastAsia="仿宋_GB2312"/>
          <w:sz w:val="28"/>
          <w:szCs w:val="28"/>
        </w:rPr>
        <w:t xml:space="preserve"> </w:t>
      </w:r>
      <w:r>
        <w:rPr>
          <w:rFonts w:hint="eastAsia" w:ascii="仿宋_GB2312" w:hAnsi="Calibri" w:eastAsia="仿宋_GB2312"/>
          <w:sz w:val="28"/>
          <w:szCs w:val="28"/>
        </w:rPr>
        <w:t>抽取童车产品时，需要抽取产品的附件，包括说明书、合格证、保修卡、外包装箱、包装薄膜等</w:t>
      </w:r>
      <w:r>
        <w:rPr>
          <w:rFonts w:hint="eastAsia" w:ascii="仿宋_GB2312" w:hAnsi="宋体" w:eastAsia="仿宋_GB2312"/>
          <w:sz w:val="28"/>
          <w:szCs w:val="28"/>
        </w:rPr>
        <w:t>。</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5.6 样品处置</w:t>
      </w:r>
    </w:p>
    <w:p>
      <w:pPr>
        <w:spacing w:line="540" w:lineRule="exact"/>
        <w:rPr>
          <w:rFonts w:ascii="仿宋_GB2312" w:hAnsi="宋体" w:eastAsia="仿宋_GB2312"/>
          <w:sz w:val="28"/>
          <w:szCs w:val="28"/>
        </w:rPr>
      </w:pPr>
      <w:r>
        <w:rPr>
          <w:rFonts w:hint="eastAsia" w:ascii="仿宋_GB2312" w:hAnsi="ˎ̥" w:eastAsia="仿宋_GB2312"/>
          <w:b/>
          <w:sz w:val="28"/>
          <w:szCs w:val="28"/>
        </w:rPr>
        <w:t xml:space="preserve">5.6.1 </w:t>
      </w:r>
      <w:r>
        <w:rPr>
          <w:rFonts w:hint="eastAsia" w:ascii="仿宋_GB2312" w:hAnsi="宋体" w:eastAsia="仿宋_GB2312"/>
          <w:sz w:val="28"/>
          <w:szCs w:val="28"/>
        </w:rPr>
        <w:t>被抽查样品应贴封条和防拆封措施，以保证其完整性、真实性，包括附在样品上的使用说明及其他信息。如样品标签上标明特殊储存或搬运要求，样品应按要求进行处置，检验样品和备用样品应分别封样。</w:t>
      </w:r>
    </w:p>
    <w:p>
      <w:pPr>
        <w:spacing w:line="540" w:lineRule="exact"/>
        <w:rPr>
          <w:rFonts w:ascii="仿宋_GB2312" w:hAnsi="Calibri" w:eastAsia="仿宋_GB2312"/>
          <w:sz w:val="28"/>
          <w:szCs w:val="28"/>
        </w:rPr>
      </w:pPr>
      <w:r>
        <w:rPr>
          <w:rFonts w:hint="eastAsia" w:ascii="仿宋_GB2312" w:hAnsi="宋体" w:eastAsia="仿宋_GB2312"/>
          <w:b/>
          <w:sz w:val="28"/>
          <w:szCs w:val="28"/>
        </w:rPr>
        <w:t xml:space="preserve">5.6.2 </w:t>
      </w:r>
      <w:r>
        <w:rPr>
          <w:rFonts w:hint="eastAsia" w:ascii="仿宋_GB2312" w:hAnsi="Calibri" w:eastAsia="仿宋_GB2312"/>
          <w:sz w:val="28"/>
          <w:szCs w:val="28"/>
        </w:rPr>
        <w:t>样品由抽样人负责送至指定的检验机构相关部门，接收人负责检查、记录样品的外观、状态、封样单有无破损及其他可能对检测结果或者综合判定产生影响的情况，并确认样品与抽样单的记录是否相符。</w:t>
      </w:r>
    </w:p>
    <w:p>
      <w:pPr>
        <w:autoSpaceDE w:val="0"/>
        <w:autoSpaceDN w:val="0"/>
        <w:adjustRightInd w:val="0"/>
        <w:spacing w:line="540" w:lineRule="exact"/>
        <w:rPr>
          <w:rFonts w:ascii="仿宋_GB2312" w:hAnsi="宋体" w:eastAsia="仿宋_GB2312"/>
          <w:b/>
          <w:sz w:val="28"/>
          <w:szCs w:val="28"/>
        </w:rPr>
      </w:pPr>
      <w:r>
        <w:rPr>
          <w:rFonts w:hint="eastAsia" w:ascii="仿宋_GB2312" w:hAnsi="宋体" w:eastAsia="仿宋_GB2312"/>
          <w:b/>
          <w:sz w:val="28"/>
          <w:szCs w:val="28"/>
        </w:rPr>
        <w:t>5.7 抽样单</w:t>
      </w:r>
    </w:p>
    <w:p>
      <w:pPr>
        <w:snapToGrid w:val="0"/>
        <w:spacing w:line="540" w:lineRule="exact"/>
        <w:ind w:firstLine="537" w:firstLineChars="192"/>
        <w:rPr>
          <w:rFonts w:ascii="仿宋_GB2312" w:hAnsi="Calibri" w:eastAsia="仿宋_GB2312" w:cs="Sim Sun"/>
          <w:kern w:val="0"/>
          <w:sz w:val="28"/>
          <w:szCs w:val="28"/>
        </w:rPr>
      </w:pPr>
      <w:r>
        <w:rPr>
          <w:rFonts w:hint="eastAsia" w:ascii="仿宋_GB2312" w:hAnsi="宋体" w:eastAsia="仿宋_GB2312"/>
          <w:sz w:val="28"/>
          <w:szCs w:val="28"/>
        </w:rPr>
        <w:t>应按有关规定填写抽样单，并记录被抽查产品及企业相关信息。</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6 检验要求</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6.1 检验项目</w:t>
      </w:r>
    </w:p>
    <w:p>
      <w:pPr>
        <w:widowControl/>
        <w:adjustRightInd w:val="0"/>
        <w:snapToGrid w:val="0"/>
        <w:spacing w:line="54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6.1.1 儿童自行车</w:t>
      </w:r>
    </w:p>
    <w:tbl>
      <w:tblPr>
        <w:tblStyle w:val="4"/>
        <w:tblW w:w="8932"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6"/>
        <w:gridCol w:w="1514"/>
        <w:gridCol w:w="2325"/>
        <w:gridCol w:w="1328"/>
        <w:gridCol w:w="2123"/>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tblHeader/>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黑体" w:hAnsi="黑体" w:eastAsia="黑体"/>
                <w:bCs/>
                <w:sz w:val="24"/>
              </w:rPr>
            </w:pPr>
            <w:r>
              <w:rPr>
                <w:rFonts w:hint="eastAsia" w:ascii="黑体" w:hAnsi="黑体" w:eastAsia="黑体"/>
                <w:bCs/>
                <w:sz w:val="24"/>
              </w:rPr>
              <w:t>序号</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黑体" w:hAnsi="黑体" w:eastAsia="黑体"/>
                <w:bCs/>
                <w:sz w:val="24"/>
              </w:rPr>
            </w:pPr>
            <w:r>
              <w:rPr>
                <w:rFonts w:hint="eastAsia" w:ascii="黑体" w:hAnsi="黑体" w:eastAsia="黑体"/>
                <w:bCs/>
                <w:sz w:val="24"/>
              </w:rPr>
              <w:t>检验项目</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黑体" w:hAnsi="黑体" w:eastAsia="黑体"/>
                <w:bCs/>
                <w:sz w:val="24"/>
              </w:rPr>
            </w:pPr>
            <w:r>
              <w:rPr>
                <w:rFonts w:hint="eastAsia" w:ascii="黑体" w:hAnsi="黑体" w:eastAsia="黑体"/>
                <w:bCs/>
                <w:sz w:val="24"/>
              </w:rPr>
              <w:t>检测依据</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黑体" w:hAnsi="黑体" w:eastAsia="黑体"/>
                <w:bCs/>
                <w:sz w:val="24"/>
              </w:rPr>
            </w:pPr>
            <w:r>
              <w:rPr>
                <w:rFonts w:hint="eastAsia" w:ascii="黑体" w:hAnsi="黑体" w:eastAsia="黑体"/>
                <w:bCs/>
                <w:sz w:val="24"/>
              </w:rPr>
              <w:t>项目性质</w:t>
            </w:r>
          </w:p>
        </w:tc>
        <w:tc>
          <w:tcPr>
            <w:tcW w:w="21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黑体" w:hAnsi="黑体" w:eastAsia="黑体"/>
                <w:bCs/>
                <w:sz w:val="24"/>
              </w:rPr>
            </w:pPr>
            <w:r>
              <w:rPr>
                <w:rFonts w:hint="eastAsia" w:ascii="黑体" w:hAnsi="黑体" w:eastAsia="黑体"/>
                <w:bCs/>
                <w:sz w:val="24"/>
              </w:rPr>
              <w:t>检测方法</w:t>
            </w:r>
          </w:p>
        </w:tc>
        <w:tc>
          <w:tcPr>
            <w:tcW w:w="8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ind w:left="38" w:leftChars="18" w:right="82" w:rightChars="39"/>
              <w:jc w:val="center"/>
              <w:rPr>
                <w:rFonts w:ascii="仿宋_GB2312" w:hAnsi="仿宋" w:eastAsia="仿宋_GB2312" w:cs="宋体"/>
                <w:sz w:val="24"/>
              </w:rPr>
            </w:pPr>
            <w:r>
              <w:rPr>
                <w:rFonts w:hint="eastAsia" w:ascii="仿宋_GB2312" w:hAnsi="仿宋" w:eastAsia="仿宋_GB2312" w:cs="宋体"/>
                <w:sz w:val="24"/>
              </w:rPr>
              <w:t>锐利边缘</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宋体" w:eastAsia="仿宋_GB2312"/>
                <w:sz w:val="24"/>
                <w:szCs w:val="21"/>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2</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外露突出物</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3.1.2.1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3.1.2.1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3</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突出物禁区、保护装置和螺钉</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3.1.2.2</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3.1.2.2</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vMerge w:val="restart"/>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4</w:t>
            </w:r>
          </w:p>
        </w:tc>
        <w:tc>
          <w:tcPr>
            <w:tcW w:w="1514" w:type="dxa"/>
            <w:vMerge w:val="restart"/>
            <w:tcBorders>
              <w:top w:val="single" w:color="auto" w:sz="2" w:space="0"/>
              <w:left w:val="single" w:color="auto" w:sz="4" w:space="0"/>
              <w:bottom w:val="single" w:color="auto" w:sz="4" w:space="0"/>
              <w:right w:val="single" w:color="auto" w:sz="4" w:space="0"/>
            </w:tcBorders>
            <w:noWrap w:val="0"/>
            <w:vAlign w:val="center"/>
          </w:tcPr>
          <w:p>
            <w:pPr>
              <w:pStyle w:val="2"/>
              <w:snapToGrid w:val="0"/>
              <w:spacing w:before="156" w:beforeLines="50" w:after="156" w:afterLines="50"/>
              <w:jc w:val="center"/>
              <w:rPr>
                <w:rFonts w:ascii="仿宋_GB2312" w:hAnsi="宋体" w:eastAsia="仿宋_GB2312"/>
                <w:sz w:val="24"/>
                <w:szCs w:val="24"/>
              </w:rPr>
            </w:pPr>
            <w:r>
              <w:rPr>
                <w:rFonts w:hint="eastAsia" w:ascii="仿宋_GB2312" w:hAnsi="仿宋" w:eastAsia="仿宋_GB2312" w:cs="宋体"/>
                <w:sz w:val="24"/>
              </w:rPr>
              <w:t>制动系统</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3.2.1.1</w:t>
            </w:r>
          </w:p>
        </w:tc>
        <w:tc>
          <w:tcPr>
            <w:tcW w:w="1328" w:type="dxa"/>
            <w:vMerge w:val="restart"/>
            <w:tcBorders>
              <w:top w:val="single" w:color="auto" w:sz="2" w:space="0"/>
              <w:left w:val="single" w:color="auto" w:sz="4" w:space="0"/>
              <w:bottom w:val="single" w:color="auto" w:sz="4" w:space="0"/>
              <w:right w:val="single" w:color="auto" w:sz="4" w:space="0"/>
            </w:tcBorders>
            <w:noWrap w:val="0"/>
            <w:vAlign w:val="center"/>
          </w:tcPr>
          <w:p>
            <w:pPr>
              <w:snapToGrid w:val="0"/>
              <w:spacing w:before="78" w:beforeLines="25" w:after="78" w:afterLines="25"/>
              <w:jc w:val="center"/>
              <w:rPr>
                <w:rFonts w:ascii="仿宋_GB2312" w:hAnsi="仿宋" w:eastAsia="仿宋_GB2312"/>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3.2.1.1</w:t>
            </w:r>
          </w:p>
        </w:tc>
        <w:tc>
          <w:tcPr>
            <w:tcW w:w="846" w:type="dxa"/>
            <w:vMerge w:val="restart"/>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vMerge w:val="continue"/>
            <w:tcBorders>
              <w:top w:val="single" w:color="auto" w:sz="2"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bCs/>
                <w:sz w:val="24"/>
              </w:rPr>
            </w:pPr>
          </w:p>
        </w:tc>
        <w:tc>
          <w:tcPr>
            <w:tcW w:w="1514" w:type="dxa"/>
            <w:vMerge w:val="continue"/>
            <w:tcBorders>
              <w:top w:val="single" w:color="auto" w:sz="2"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4"/>
              </w:rPr>
            </w:pP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3.2.1.2</w:t>
            </w:r>
          </w:p>
        </w:tc>
        <w:tc>
          <w:tcPr>
            <w:tcW w:w="1328" w:type="dxa"/>
            <w:vMerge w:val="continue"/>
            <w:tcBorders>
              <w:top w:val="single" w:color="auto" w:sz="2"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sz w:val="24"/>
              </w:rPr>
            </w:pP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3.2.1.2</w:t>
            </w:r>
          </w:p>
        </w:tc>
        <w:tc>
          <w:tcPr>
            <w:tcW w:w="846" w:type="dxa"/>
            <w:vMerge w:val="continue"/>
            <w:tcBorders>
              <w:top w:val="single" w:color="auto" w:sz="2"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5</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闸把尺寸</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3.2.2.2</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3.2.2.2</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6</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手闸制动系统的强度</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3.2.4.1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4.3.1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7</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手闸制动性能试验</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3.2.5.1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4.4</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8</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把横管</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3.3.1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3.3.1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9</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把横管的把套</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3.3.2</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3.3.2</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10</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把立管</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3.3.3</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3.3.3</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11</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车把稳定性</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3.3.4</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3.3.4</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vMerge w:val="restart"/>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12</w:t>
            </w:r>
          </w:p>
        </w:tc>
        <w:tc>
          <w:tcPr>
            <w:tcW w:w="1514" w:type="dxa"/>
            <w:vMerge w:val="restart"/>
            <w:tcBorders>
              <w:top w:val="single" w:color="auto" w:sz="2" w:space="0"/>
              <w:left w:val="single" w:color="auto" w:sz="4" w:space="0"/>
              <w:bottom w:val="single" w:color="auto" w:sz="4" w:space="0"/>
              <w:right w:val="single" w:color="auto" w:sz="4" w:space="0"/>
            </w:tcBorders>
            <w:noWrap w:val="0"/>
            <w:vAlign w:val="center"/>
          </w:tcPr>
          <w:p>
            <w:pPr>
              <w:pStyle w:val="2"/>
              <w:snapToGrid w:val="0"/>
              <w:spacing w:before="156" w:beforeLines="50" w:after="156" w:afterLines="50"/>
              <w:jc w:val="center"/>
              <w:rPr>
                <w:rFonts w:ascii="仿宋_GB2312" w:hAnsi="宋体" w:eastAsia="仿宋_GB2312"/>
                <w:sz w:val="24"/>
                <w:szCs w:val="24"/>
              </w:rPr>
            </w:pPr>
            <w:r>
              <w:rPr>
                <w:rFonts w:hint="eastAsia" w:ascii="仿宋_GB2312" w:hAnsi="仿宋" w:eastAsia="仿宋_GB2312" w:cs="宋体"/>
                <w:sz w:val="24"/>
              </w:rPr>
              <w:t>车把部件的强度</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GB 14746-200</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63.3.5.1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snapToGrid w:val="0"/>
              <w:spacing w:before="78" w:beforeLines="25" w:after="78" w:afterLines="25"/>
              <w:jc w:val="center"/>
              <w:rPr>
                <w:rFonts w:ascii="仿宋_GB2312" w:hAnsi="仿宋" w:eastAsia="仿宋_GB2312"/>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4.6.1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vMerge w:val="continue"/>
            <w:tcBorders>
              <w:top w:val="single" w:color="auto" w:sz="2"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bCs/>
                <w:sz w:val="24"/>
              </w:rPr>
            </w:pPr>
          </w:p>
        </w:tc>
        <w:tc>
          <w:tcPr>
            <w:tcW w:w="1514" w:type="dxa"/>
            <w:vMerge w:val="continue"/>
            <w:tcBorders>
              <w:top w:val="single" w:color="auto" w:sz="2"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4"/>
              </w:rPr>
            </w:pP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3.3.5.2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78" w:beforeLines="25" w:after="78" w:afterLines="25"/>
              <w:jc w:val="center"/>
              <w:rPr>
                <w:rFonts w:ascii="仿宋_GB2312" w:hAnsi="仿宋" w:eastAsia="仿宋_GB2312"/>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4.6.2</w:t>
            </w:r>
          </w:p>
        </w:tc>
        <w:tc>
          <w:tcPr>
            <w:tcW w:w="8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vMerge w:val="continue"/>
            <w:tcBorders>
              <w:top w:val="single" w:color="auto" w:sz="2"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bCs/>
                <w:sz w:val="24"/>
              </w:rPr>
            </w:pPr>
          </w:p>
        </w:tc>
        <w:tc>
          <w:tcPr>
            <w:tcW w:w="1514" w:type="dxa"/>
            <w:vMerge w:val="continue"/>
            <w:tcBorders>
              <w:top w:val="single" w:color="auto" w:sz="2"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4"/>
              </w:rPr>
            </w:pP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3.3.5.3</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78" w:beforeLines="25" w:after="78" w:afterLines="25"/>
              <w:jc w:val="center"/>
              <w:rPr>
                <w:rFonts w:ascii="仿宋_GB2312" w:hAnsi="仿宋" w:eastAsia="仿宋_GB2312"/>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4.6.3</w:t>
            </w:r>
          </w:p>
        </w:tc>
        <w:tc>
          <w:tcPr>
            <w:tcW w:w="8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13</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冲击试验（重物落下）</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3.4.1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4.7.1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14</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冲击试验（车架/前叉组合件落下）</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3.4.2</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4.7.2</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15</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间隙</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3.6.2</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3.6.2</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16</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前轮夹持力</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3.6.4.2</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3.6.4.2</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17</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后轮夹持力</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3.6.4.3</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3.6.4.3</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18</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地面间隙</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3.8.2.1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3.8.2.1.1</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3.8.2.1.1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19</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足尖间隙</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3.8.2.2</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3.8.2.2</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20</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脚蹬/曲柄组合件动态试验</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3.8.3</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4.9</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21</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限制尺寸</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3.9.1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3.9.1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22</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鞍管</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3.9.2</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3.9.2</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23</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鞍座调节夹紧装置</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3.9.3</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4.10</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24</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鞍座的强度</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3.9.4</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4.14</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25</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驱动系统静负荷试验</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3.10</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4.11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26</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链罩</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796" w:type="dxa"/>
            <w:tcBorders>
              <w:top w:val="single" w:color="auto" w:sz="2"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 w:eastAsia="仿宋_GB2312"/>
                <w:bCs/>
                <w:sz w:val="24"/>
              </w:rPr>
            </w:pPr>
            <w:r>
              <w:rPr>
                <w:rFonts w:hint="eastAsia" w:ascii="仿宋_GB2312" w:hAnsi="仿宋" w:eastAsia="仿宋_GB2312"/>
                <w:bCs/>
                <w:sz w:val="24"/>
              </w:rPr>
              <w:t>27</w:t>
            </w:r>
          </w:p>
        </w:tc>
        <w:tc>
          <w:tcPr>
            <w:tcW w:w="1514"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平衡轮尺寸</w:t>
            </w:r>
          </w:p>
        </w:tc>
        <w:tc>
          <w:tcPr>
            <w:tcW w:w="2325"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3.12.1</w:t>
            </w:r>
          </w:p>
        </w:tc>
        <w:tc>
          <w:tcPr>
            <w:tcW w:w="1328"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强制性</w:t>
            </w:r>
          </w:p>
        </w:tc>
        <w:tc>
          <w:tcPr>
            <w:tcW w:w="2123" w:type="dxa"/>
            <w:tcBorders>
              <w:top w:val="single" w:color="auto" w:sz="2" w:space="0"/>
              <w:left w:val="single" w:color="auto" w:sz="4" w:space="0"/>
              <w:bottom w:val="single" w:color="auto" w:sz="4" w:space="0"/>
              <w:right w:val="single" w:color="auto" w:sz="4" w:space="0"/>
            </w:tcBorders>
            <w:noWrap w:val="0"/>
            <w:vAlign w:val="center"/>
          </w:tcPr>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 xml:space="preserve">GB 14746-2006 </w:t>
            </w:r>
          </w:p>
          <w:p>
            <w:pPr>
              <w:pStyle w:val="6"/>
              <w:adjustRightInd w:val="0"/>
              <w:snapToGrid w:val="0"/>
              <w:spacing w:line="320" w:lineRule="exact"/>
              <w:jc w:val="center"/>
              <w:rPr>
                <w:rFonts w:ascii="仿宋_GB2312" w:hAnsi="仿宋" w:eastAsia="仿宋_GB2312" w:cs="宋体"/>
                <w:sz w:val="24"/>
              </w:rPr>
            </w:pPr>
            <w:r>
              <w:rPr>
                <w:rFonts w:hint="eastAsia" w:ascii="仿宋_GB2312" w:hAnsi="仿宋" w:eastAsia="仿宋_GB2312" w:cs="宋体"/>
                <w:sz w:val="24"/>
              </w:rPr>
              <w:t>3.12.1</w:t>
            </w:r>
          </w:p>
        </w:tc>
        <w:tc>
          <w:tcPr>
            <w:tcW w:w="846" w:type="dxa"/>
            <w:tcBorders>
              <w:top w:val="single" w:color="auto" w:sz="2"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8932" w:type="dxa"/>
            <w:gridSpan w:val="6"/>
            <w:tcBorders>
              <w:top w:val="single" w:color="auto" w:sz="2" w:space="0"/>
              <w:left w:val="single" w:color="auto" w:sz="4" w:space="0"/>
              <w:bottom w:val="single" w:color="auto" w:sz="2" w:space="0"/>
              <w:right w:val="single" w:color="auto" w:sz="4" w:space="0"/>
            </w:tcBorders>
            <w:noWrap w:val="0"/>
            <w:vAlign w:val="center"/>
          </w:tcPr>
          <w:p>
            <w:pPr>
              <w:snapToGrid w:val="0"/>
              <w:jc w:val="left"/>
              <w:rPr>
                <w:rFonts w:ascii="仿宋_GB2312" w:hAnsi="仿宋" w:eastAsia="仿宋_GB2312"/>
                <w:bCs/>
                <w:szCs w:val="21"/>
              </w:rPr>
            </w:pPr>
            <w:r>
              <w:rPr>
                <w:rFonts w:hint="eastAsia" w:ascii="仿宋_GB2312" w:hAnsi="宋体" w:eastAsia="仿宋_GB2312"/>
                <w:szCs w:val="21"/>
              </w:rPr>
              <w:t>注：</w:t>
            </w:r>
            <w:r>
              <w:rPr>
                <w:rFonts w:hint="eastAsia" w:ascii="仿宋_GB2312" w:hAnsi="仿宋" w:eastAsia="仿宋_GB2312"/>
                <w:bCs/>
                <w:szCs w:val="21"/>
              </w:rPr>
              <w:t>复检样品为“</w:t>
            </w:r>
            <w:r>
              <w:rPr>
                <w:rFonts w:hint="eastAsia" w:ascii="仿宋_GB2312" w:hAnsi="仿宋" w:eastAsia="仿宋_GB2312"/>
                <w:szCs w:val="21"/>
              </w:rPr>
              <w:t>原样/备样</w:t>
            </w:r>
            <w:r>
              <w:rPr>
                <w:rFonts w:hint="eastAsia" w:ascii="仿宋_GB2312" w:hAnsi="仿宋" w:eastAsia="仿宋_GB2312"/>
                <w:bCs/>
                <w:szCs w:val="21"/>
              </w:rPr>
              <w:t>”时，原样品未损坏选择原样作为复检样品，原样品出现损坏选择备样作为复检样品。</w:t>
            </w:r>
          </w:p>
        </w:tc>
      </w:tr>
    </w:tbl>
    <w:p>
      <w:pPr>
        <w:widowControl/>
        <w:adjustRightInd w:val="0"/>
        <w:snapToGrid w:val="0"/>
        <w:spacing w:line="6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6.1.2儿童三轮车</w:t>
      </w:r>
    </w:p>
    <w:tbl>
      <w:tblPr>
        <w:tblStyle w:val="4"/>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702"/>
        <w:gridCol w:w="2334"/>
        <w:gridCol w:w="1276"/>
        <w:gridCol w:w="2126"/>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z w:val="24"/>
              </w:rPr>
            </w:pPr>
            <w:r>
              <w:rPr>
                <w:rFonts w:hint="eastAsia" w:ascii="黑体" w:hAnsi="黑体" w:eastAsia="黑体"/>
                <w:bCs/>
                <w:sz w:val="24"/>
              </w:rPr>
              <w:t>序号</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z w:val="24"/>
              </w:rPr>
            </w:pPr>
            <w:r>
              <w:rPr>
                <w:rFonts w:hint="eastAsia" w:ascii="黑体" w:hAnsi="黑体" w:eastAsia="黑体"/>
                <w:sz w:val="24"/>
              </w:rPr>
              <w:t>检验项目</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z w:val="24"/>
              </w:rPr>
            </w:pPr>
            <w:r>
              <w:rPr>
                <w:rFonts w:hint="eastAsia" w:ascii="黑体" w:hAnsi="黑体" w:eastAsia="黑体"/>
                <w:sz w:val="24"/>
              </w:rPr>
              <w:t>检测依据</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z w:val="24"/>
              </w:rPr>
            </w:pPr>
            <w:r>
              <w:rPr>
                <w:rFonts w:hint="eastAsia" w:ascii="黑体" w:hAnsi="黑体" w:eastAsia="黑体"/>
                <w:sz w:val="24"/>
              </w:rPr>
              <w:t>项目性质</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z w:val="24"/>
              </w:rPr>
            </w:pPr>
            <w:r>
              <w:rPr>
                <w:rFonts w:hint="eastAsia" w:ascii="黑体" w:hAnsi="黑体" w:eastAsia="黑体"/>
                <w:sz w:val="24"/>
              </w:rPr>
              <w:t>检测方法</w:t>
            </w:r>
          </w:p>
        </w:tc>
        <w:tc>
          <w:tcPr>
            <w:tcW w:w="9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z w:val="24"/>
              </w:rPr>
            </w:pPr>
            <w:r>
              <w:rPr>
                <w:rFonts w:hint="eastAsia" w:ascii="黑体" w:hAnsi="黑体" w:eastAsia="黑体"/>
                <w:sz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特定可迁移元素最大限量</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5.2</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燃烧性能</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5.3</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3</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机械强度</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5.4</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锐利边缘</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5.5</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锐利尖端</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5.6</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6</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外露突出物</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4.3.3</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7</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挤夹点</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4.3.4</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8</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小零件</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5.7</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9</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行驶稳定性</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4.4.1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5.8</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10</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连接紧固件</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4.5.1</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11</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防护罩帽</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4.5.2</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12</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把立管插入深度标记(把立管是可调节的结构)</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4.5.3.1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4.5.3.1</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13</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把立管强度</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4.5.3.2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5.11</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14</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把横管</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4.5.3.3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4.5.3.3</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把横管两端</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4.5.3.4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4.5.3.4</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16</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把立管夹紧装置</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4.5.3.5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5.12</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17</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鞍管插入深度(鞍管是可调节的机构)</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4.5.4.1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4.5.4.1</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18</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鞍座调节夹紧装置</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4.5.4.2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5.4、</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14747-2006 5.13</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19</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冲击强度</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5.14</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20</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靠背结构牢固性</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5.15</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21</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辅助推杆强度</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5.16</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22</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脚蹬离地高度</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4.5.8.2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5.17</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23</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适用年龄和体重</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4.6.2.4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4.6.2.4</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24</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安全警示</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4.6.2.5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14747-2006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4.6.2.5</w:t>
            </w:r>
          </w:p>
        </w:tc>
        <w:tc>
          <w:tcPr>
            <w:tcW w:w="96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157" w:type="dxa"/>
            <w:gridSpan w:val="6"/>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left"/>
              <w:rPr>
                <w:rFonts w:ascii="仿宋_GB2312" w:hAnsi="仿宋" w:eastAsia="仿宋_GB2312" w:cs="宋体"/>
                <w:szCs w:val="21"/>
              </w:rPr>
            </w:pPr>
            <w:r>
              <w:rPr>
                <w:rFonts w:hint="eastAsia" w:ascii="仿宋_GB2312" w:hAnsi="宋体" w:eastAsia="仿宋_GB2312"/>
                <w:szCs w:val="21"/>
              </w:rPr>
              <w:t>注：</w:t>
            </w:r>
            <w:r>
              <w:rPr>
                <w:rFonts w:hint="eastAsia" w:ascii="仿宋_GB2312" w:hAnsi="仿宋" w:eastAsia="仿宋_GB2312"/>
                <w:bCs/>
                <w:szCs w:val="21"/>
              </w:rPr>
              <w:t>复检样品为“</w:t>
            </w:r>
            <w:r>
              <w:rPr>
                <w:rFonts w:hint="eastAsia" w:ascii="仿宋_GB2312" w:hAnsi="仿宋" w:eastAsia="仿宋_GB2312"/>
                <w:szCs w:val="21"/>
              </w:rPr>
              <w:t>原样/备样</w:t>
            </w:r>
            <w:r>
              <w:rPr>
                <w:rFonts w:hint="eastAsia" w:ascii="仿宋_GB2312" w:hAnsi="仿宋" w:eastAsia="仿宋_GB2312"/>
                <w:bCs/>
                <w:szCs w:val="21"/>
              </w:rPr>
              <w:t>”时，原样品未损坏选择原样作为复检样品，原样品出现损坏选择备样作为复检样品。</w:t>
            </w:r>
          </w:p>
        </w:tc>
      </w:tr>
    </w:tbl>
    <w:p>
      <w:pPr>
        <w:pStyle w:val="7"/>
        <w:spacing w:before="78" w:after="109" w:line="640" w:lineRule="exact"/>
        <w:ind w:firstLine="562"/>
        <w:jc w:val="both"/>
        <w:rPr>
          <w:rFonts w:hAnsi="宋体"/>
          <w:b/>
          <w:bCs w:val="0"/>
          <w:kern w:val="2"/>
          <w:sz w:val="28"/>
          <w:szCs w:val="28"/>
        </w:rPr>
      </w:pPr>
      <w:r>
        <w:rPr>
          <w:rFonts w:hint="eastAsia" w:hAnsi="宋体"/>
          <w:b/>
          <w:bCs w:val="0"/>
          <w:kern w:val="2"/>
          <w:sz w:val="28"/>
          <w:szCs w:val="28"/>
        </w:rPr>
        <w:t>6.1.3儿童推车</w:t>
      </w:r>
    </w:p>
    <w:tbl>
      <w:tblPr>
        <w:tblStyle w:val="4"/>
        <w:tblW w:w="92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6"/>
        <w:gridCol w:w="2505"/>
        <w:gridCol w:w="1276"/>
        <w:gridCol w:w="1984"/>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黑体" w:hAnsi="黑体" w:eastAsia="黑体"/>
                <w:sz w:val="24"/>
              </w:rPr>
            </w:pPr>
            <w:r>
              <w:rPr>
                <w:rFonts w:hint="eastAsia" w:ascii="黑体" w:hAnsi="黑体" w:eastAsia="黑体"/>
                <w:bCs/>
                <w:sz w:val="24"/>
              </w:rPr>
              <w:t>序号</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黑体" w:hAnsi="黑体" w:eastAsia="黑体"/>
                <w:sz w:val="24"/>
              </w:rPr>
            </w:pPr>
            <w:r>
              <w:rPr>
                <w:rFonts w:hint="eastAsia" w:ascii="黑体" w:hAnsi="黑体" w:eastAsia="黑体"/>
                <w:sz w:val="24"/>
              </w:rPr>
              <w:t>检验项目</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黑体" w:hAnsi="黑体" w:eastAsia="黑体"/>
                <w:sz w:val="24"/>
              </w:rPr>
            </w:pPr>
            <w:r>
              <w:rPr>
                <w:rFonts w:hint="eastAsia" w:ascii="黑体" w:hAnsi="黑体" w:eastAsia="黑体"/>
                <w:sz w:val="24"/>
              </w:rPr>
              <w:t>检测依据</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黑体" w:hAnsi="黑体" w:eastAsia="黑体"/>
                <w:sz w:val="24"/>
              </w:rPr>
            </w:pPr>
            <w:r>
              <w:rPr>
                <w:rFonts w:hint="eastAsia" w:ascii="黑体" w:hAnsi="黑体" w:eastAsia="黑体"/>
                <w:sz w:val="24"/>
              </w:rPr>
              <w:t>项目性质</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黑体" w:hAnsi="黑体" w:eastAsia="黑体"/>
                <w:sz w:val="24"/>
              </w:rPr>
            </w:pPr>
            <w:r>
              <w:rPr>
                <w:rFonts w:hint="eastAsia" w:ascii="黑体" w:hAnsi="黑体" w:eastAsia="黑体"/>
                <w:sz w:val="24"/>
              </w:rPr>
              <w:t>检测方法</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黑体" w:hAnsi="黑体" w:eastAsia="黑体"/>
                <w:sz w:val="24"/>
              </w:rPr>
            </w:pPr>
            <w:r>
              <w:rPr>
                <w:rFonts w:hint="eastAsia" w:ascii="黑体" w:hAnsi="黑体" w:eastAsia="黑体"/>
                <w:sz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材料质量</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4.1.1</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特定可迁移元素最大限量</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GB14748-200</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64.1.2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5.6</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3</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金属表面</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4.2</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燃烧性能</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外露的开口管子</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4.4.1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4.4.1</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6</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危险夹缝</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4.4.2.1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5.7a）</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5.7b）</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7</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剪切和挤夹点</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4.4.2.2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5.7a）</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8</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锐利边缘和尖端</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4.4.3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GB6675-2003</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A5.8</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GB6675-2003</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A5.9</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9</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小零件</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4.4.4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4.4.4</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10</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外露突出物</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4.4.5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4.4.5</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11</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机械部件的连接</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4.4.6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4.4.6</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12</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卧兜的最小内部高度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4.5.1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4.5.1</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13</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座兜的座垫与靠背的角度和靠背的高度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4.5.2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5.9</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5.10</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14</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推车的适用年龄</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4.6</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5.21</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15</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卧兜和座兜连接在车架上的装置</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4.7</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16</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稳定性</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5.11</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17</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手把强度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5.12</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18</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制动装置</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5.13</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5.18</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19</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折叠锁定装置</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4.11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5.14</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20</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可拆卸卧兜或座兜的连接装置的强度和耐用性</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4.12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5.15</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21</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束缚系统的强度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4.13.1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5.16.1</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22</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安全带扣的强度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4.13.3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5.16.3</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23</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车轮的强度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4.14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5.17</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24</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动态耐久性试验</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5.18</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25</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撞击强度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4.16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5.19</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26</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静态强度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4.17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5.20</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27</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适用年龄和体重</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7.2.4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7.2.4</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28</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安全警示</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14748-2006 7.2.5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14748-2006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7.2.5</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13" w:type="dxa"/>
            <w:gridSpan w:val="6"/>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line="0" w:lineRule="atLeast"/>
              <w:ind w:firstLine="0" w:firstLineChars="0"/>
              <w:rPr>
                <w:rFonts w:ascii="黑体" w:hAnsi="黑体" w:eastAsia="黑体"/>
                <w:sz w:val="21"/>
                <w:szCs w:val="21"/>
              </w:rPr>
            </w:pPr>
            <w:r>
              <w:rPr>
                <w:rFonts w:hint="eastAsia" w:hAnsi="仿宋" w:cs="宋体"/>
                <w:bCs w:val="0"/>
                <w:kern w:val="2"/>
                <w:sz w:val="21"/>
                <w:szCs w:val="21"/>
              </w:rPr>
              <w:t>注：复检样品为“原样/备样”时，原样品未损坏选择原样作为复检样品，原样品出现损坏选择备样作为复检样品。</w:t>
            </w:r>
          </w:p>
        </w:tc>
      </w:tr>
    </w:tbl>
    <w:p>
      <w:pPr>
        <w:pStyle w:val="7"/>
        <w:spacing w:before="78" w:after="109" w:line="640" w:lineRule="exact"/>
        <w:ind w:firstLine="562"/>
        <w:jc w:val="both"/>
        <w:rPr>
          <w:rFonts w:hAnsi="宋体"/>
          <w:b/>
          <w:bCs w:val="0"/>
          <w:kern w:val="2"/>
          <w:sz w:val="28"/>
          <w:szCs w:val="28"/>
        </w:rPr>
      </w:pPr>
      <w:r>
        <w:rPr>
          <w:rFonts w:hint="eastAsia" w:hAnsi="宋体"/>
          <w:b/>
          <w:bCs w:val="0"/>
          <w:kern w:val="2"/>
          <w:sz w:val="28"/>
          <w:szCs w:val="28"/>
        </w:rPr>
        <w:t>6.1.4婴儿学步车</w:t>
      </w:r>
    </w:p>
    <w:tbl>
      <w:tblPr>
        <w:tblStyle w:val="4"/>
        <w:tblW w:w="94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723"/>
        <w:gridCol w:w="2530"/>
        <w:gridCol w:w="1276"/>
        <w:gridCol w:w="1984"/>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黑体" w:hAnsi="黑体" w:eastAsia="黑体" w:cs="宋体"/>
                <w:sz w:val="24"/>
              </w:rPr>
            </w:pPr>
            <w:r>
              <w:rPr>
                <w:rFonts w:hint="eastAsia" w:ascii="黑体" w:hAnsi="黑体" w:eastAsia="黑体" w:cs="宋体"/>
                <w:sz w:val="24"/>
              </w:rPr>
              <w:t>序号</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黑体" w:hAnsi="黑体" w:eastAsia="黑体" w:cs="宋体"/>
                <w:sz w:val="24"/>
              </w:rPr>
            </w:pPr>
            <w:r>
              <w:rPr>
                <w:rFonts w:hint="eastAsia" w:ascii="黑体" w:hAnsi="黑体" w:eastAsia="黑体" w:cs="宋体"/>
                <w:sz w:val="24"/>
              </w:rPr>
              <w:t>检验项目</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黑体" w:hAnsi="黑体" w:eastAsia="黑体" w:cs="宋体"/>
                <w:sz w:val="24"/>
              </w:rPr>
            </w:pPr>
            <w:r>
              <w:rPr>
                <w:rFonts w:hint="eastAsia" w:ascii="黑体" w:hAnsi="黑体" w:eastAsia="黑体" w:cs="宋体"/>
                <w:sz w:val="24"/>
              </w:rPr>
              <w:t>检测依据</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黑体" w:hAnsi="黑体" w:eastAsia="黑体" w:cs="宋体"/>
                <w:sz w:val="24"/>
              </w:rPr>
            </w:pPr>
            <w:r>
              <w:rPr>
                <w:rFonts w:hint="eastAsia" w:ascii="黑体" w:hAnsi="黑体" w:eastAsia="黑体" w:cs="宋体"/>
                <w:sz w:val="24"/>
              </w:rPr>
              <w:t>项目性质</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黑体" w:hAnsi="黑体" w:eastAsia="黑体" w:cs="宋体"/>
                <w:sz w:val="24"/>
              </w:rPr>
            </w:pPr>
            <w:r>
              <w:rPr>
                <w:rFonts w:hint="eastAsia" w:ascii="黑体" w:hAnsi="黑体" w:eastAsia="黑体" w:cs="宋体"/>
                <w:sz w:val="24"/>
              </w:rPr>
              <w:t>检测方法</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黑体" w:hAnsi="黑体" w:eastAsia="黑体" w:cs="宋体"/>
                <w:sz w:val="24"/>
              </w:rPr>
            </w:pPr>
            <w:r>
              <w:rPr>
                <w:rFonts w:hint="eastAsia" w:ascii="黑体" w:hAnsi="黑体" w:eastAsia="黑体" w:cs="宋体"/>
                <w:sz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材料质量</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5.3</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特定可迁移元素最大限量</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4.1.2</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3</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金属表面</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4.2</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木制部件</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4.3.1</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危险夹缝及孔、开口</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5.4</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6</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弹簧</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5.9</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7</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外露突出物</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4.3.4</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8</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可触及部件</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GB6675-2003</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A4.4、A4.5、A4.6、A4.7、A4.9</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9</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绳索/弹性绳等绳状物</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4.3.6</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10</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锁定、折叠和框架调节装置</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5.6</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11</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挤夹、剪切</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5.4</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12</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跨带宽度</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4.3.9</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13</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座位</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5.7</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14</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学步车脚轮</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4.3.11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4.3.11</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15</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框架离地高度</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4.3.12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4.3.12</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16</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防撞间距</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4.3.13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5.8</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17</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静态稳定性</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5.9</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18</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动态稳定性</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5.10</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19</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静态强度</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5.11</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20</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动态强度</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5.12</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21</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碰撞强度</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14749-2006 4.8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5.13</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GB6675-2003</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A4.4、A4.6、A4.7</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22</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燃烧性能</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4.9</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23</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适用年龄和体重</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4.11.2.4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4.11.2.4</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24</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安全警示</w:t>
            </w:r>
          </w:p>
        </w:tc>
        <w:tc>
          <w:tcPr>
            <w:tcW w:w="2530"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14749-2006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4.11.2.5</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419" w:type="dxa"/>
            <w:gridSpan w:val="6"/>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left"/>
              <w:rPr>
                <w:rFonts w:ascii="仿宋_GB2312" w:hAnsi="仿宋" w:eastAsia="仿宋_GB2312" w:cs="宋体"/>
                <w:szCs w:val="21"/>
              </w:rPr>
            </w:pPr>
            <w:r>
              <w:rPr>
                <w:rFonts w:hint="eastAsia" w:ascii="仿宋_GB2312" w:hAnsi="仿宋" w:eastAsia="仿宋_GB2312" w:cs="宋体"/>
                <w:szCs w:val="21"/>
              </w:rPr>
              <w:t>注：复检样品为“原样/备样”时，原样品未损坏选择原样作为复检样品，原样品出现损坏选择备样作为复检样品。</w:t>
            </w:r>
          </w:p>
        </w:tc>
      </w:tr>
    </w:tbl>
    <w:p>
      <w:pPr>
        <w:pStyle w:val="7"/>
        <w:spacing w:beforeLines="0" w:afterLines="0" w:line="640" w:lineRule="exact"/>
        <w:ind w:firstLine="562"/>
        <w:jc w:val="both"/>
        <w:rPr>
          <w:rFonts w:hAnsi="宋体"/>
          <w:b/>
          <w:bCs w:val="0"/>
          <w:kern w:val="2"/>
          <w:sz w:val="28"/>
          <w:szCs w:val="28"/>
        </w:rPr>
      </w:pPr>
      <w:r>
        <w:rPr>
          <w:rFonts w:hint="eastAsia" w:hAnsi="宋体"/>
          <w:b/>
          <w:bCs w:val="0"/>
          <w:kern w:val="2"/>
          <w:sz w:val="28"/>
          <w:szCs w:val="28"/>
        </w:rPr>
        <w:t>6.1.5儿童滑板车</w:t>
      </w:r>
    </w:p>
    <w:tbl>
      <w:tblPr>
        <w:tblStyle w:val="4"/>
        <w:tblW w:w="9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01"/>
        <w:gridCol w:w="2498"/>
        <w:gridCol w:w="1369"/>
        <w:gridCol w:w="2034"/>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ind w:firstLine="0" w:firstLineChars="0"/>
              <w:jc w:val="center"/>
              <w:rPr>
                <w:rFonts w:ascii="黑体" w:hAnsi="黑体" w:eastAsia="黑体"/>
                <w:sz w:val="24"/>
              </w:rPr>
            </w:pPr>
            <w:r>
              <w:rPr>
                <w:rFonts w:hint="eastAsia" w:ascii="黑体" w:hAnsi="黑体" w:eastAsia="黑体"/>
                <w:sz w:val="24"/>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ind w:firstLine="0" w:firstLineChars="0"/>
              <w:jc w:val="center"/>
              <w:rPr>
                <w:rFonts w:ascii="黑体" w:hAnsi="黑体" w:eastAsia="黑体"/>
                <w:sz w:val="24"/>
              </w:rPr>
            </w:pPr>
            <w:r>
              <w:rPr>
                <w:rFonts w:hint="eastAsia" w:ascii="黑体" w:hAnsi="黑体" w:eastAsia="黑体"/>
                <w:sz w:val="24"/>
              </w:rPr>
              <w:t>检验项目</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ind w:firstLine="0" w:firstLineChars="0"/>
              <w:jc w:val="center"/>
              <w:rPr>
                <w:rFonts w:ascii="黑体" w:hAnsi="黑体" w:eastAsia="黑体"/>
                <w:sz w:val="24"/>
              </w:rPr>
            </w:pPr>
            <w:r>
              <w:rPr>
                <w:rFonts w:hint="eastAsia" w:ascii="黑体" w:hAnsi="黑体" w:eastAsia="黑体"/>
                <w:sz w:val="24"/>
              </w:rPr>
              <w:t>检测依据</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ind w:firstLine="0" w:firstLineChars="0"/>
              <w:jc w:val="center"/>
              <w:rPr>
                <w:rFonts w:ascii="黑体" w:hAnsi="黑体" w:eastAsia="黑体"/>
                <w:sz w:val="24"/>
              </w:rPr>
            </w:pPr>
            <w:r>
              <w:rPr>
                <w:rFonts w:hint="eastAsia" w:ascii="黑体" w:hAnsi="黑体" w:eastAsia="黑体"/>
                <w:sz w:val="24"/>
              </w:rPr>
              <w:t>项目性质</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ind w:firstLine="0" w:firstLineChars="0"/>
              <w:jc w:val="center"/>
              <w:rPr>
                <w:rFonts w:ascii="黑体" w:hAnsi="黑体" w:eastAsia="黑体"/>
                <w:sz w:val="24"/>
              </w:rPr>
            </w:pPr>
            <w:r>
              <w:rPr>
                <w:rFonts w:hint="eastAsia" w:ascii="黑体" w:hAnsi="黑体" w:eastAsia="黑体"/>
                <w:sz w:val="24"/>
              </w:rPr>
              <w:t>检测方法</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ind w:firstLine="0" w:firstLineChars="0"/>
              <w:jc w:val="center"/>
              <w:rPr>
                <w:rFonts w:ascii="黑体" w:hAnsi="黑体" w:eastAsia="黑体"/>
                <w:sz w:val="24"/>
              </w:rPr>
            </w:pPr>
            <w:r>
              <w:rPr>
                <w:rFonts w:hint="eastAsia" w:ascii="黑体" w:hAnsi="黑体" w:eastAsia="黑体"/>
                <w:sz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机械与物理性能</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6675.1-2014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5.1</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6675.2-2014</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6675.2-2014</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易燃性能</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 xml:space="preserve">GB 6675.1-2014 </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5.2</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6675.3-2014</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6675.3-2014</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特定元素迁移</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6675.1-2014</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5.3.3</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6675.4-2014</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6675.4-2014</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增塑剂</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 6675.1-2014 5.3.7</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GB/T</w:t>
            </w:r>
            <w:r>
              <w:rPr>
                <w:rFonts w:ascii="仿宋_GB2312" w:hAnsi="仿宋" w:eastAsia="仿宋_GB2312" w:cs="宋体"/>
                <w:sz w:val="24"/>
              </w:rPr>
              <w:t xml:space="preserve"> </w:t>
            </w:r>
            <w:r>
              <w:rPr>
                <w:rFonts w:hint="eastAsia" w:ascii="仿宋_GB2312" w:hAnsi="仿宋" w:eastAsia="仿宋_GB2312" w:cs="宋体"/>
                <w:sz w:val="24"/>
              </w:rPr>
              <w:t>22048-</w:t>
            </w:r>
          </w:p>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2015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突出部件</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6675.12-2014 4.7</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6675.2-2014 4.8</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GB6675.12-2014</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4.7.2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强度</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6675.12-2014 4.11</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GB6675.12-2014</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4.11、5.1、 5.2、5.4</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三轮滑板车的稳定性</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6675.12-2014 4.12</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6675.2-2014</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5.12.2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可调节、可折叠的把立管和把横管</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6675.12-2014</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4.13</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6675.12-2014</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4.13</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刹车</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6675.12-2014 4.14</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6675.12-2014</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5.3</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10</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车轮尺寸</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6675.12-2014 4.15</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6675.12-2014</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4.15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11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标识和警告</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6675.12-2014 4.17.1</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6675.12-2014 4.17.1</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04" w:type="dxa"/>
            <w:gridSpan w:val="6"/>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jc w:val="left"/>
              <w:rPr>
                <w:rFonts w:ascii="仿宋_GB2312" w:hAnsi="宋体" w:eastAsia="仿宋_GB2312"/>
                <w:szCs w:val="21"/>
              </w:rPr>
            </w:pPr>
            <w:r>
              <w:rPr>
                <w:rFonts w:hint="eastAsia" w:ascii="仿宋_GB2312" w:hAnsi="宋体" w:eastAsia="仿宋_GB2312"/>
                <w:szCs w:val="21"/>
              </w:rPr>
              <w:t>注1：</w:t>
            </w:r>
            <w:r>
              <w:rPr>
                <w:rFonts w:ascii="仿宋_GB2312" w:hAnsi="宋体" w:eastAsia="仿宋_GB2312"/>
                <w:szCs w:val="21"/>
              </w:rPr>
              <w:t>机械与物理性能</w:t>
            </w:r>
            <w:r>
              <w:rPr>
                <w:rFonts w:hint="eastAsia" w:ascii="仿宋_GB2312" w:hAnsi="宋体" w:eastAsia="仿宋_GB2312"/>
                <w:szCs w:val="21"/>
              </w:rPr>
              <w:t>正常使用不合格项目原则上使用原样进行复检，但因可预见的合理滥用测试导致样品被破坏而使原样不能用于复检时，可用备样复检；可预见的合理滥用测试不合格，应使用备样进行复检。机械与物理性能应对所有适用项目进行测试，不适用的项目应在报告中予以说明。</w:t>
            </w:r>
          </w:p>
          <w:p>
            <w:pPr>
              <w:jc w:val="left"/>
              <w:rPr>
                <w:rFonts w:ascii="仿宋_GB2312" w:hAnsi="宋体" w:eastAsia="仿宋_GB2312"/>
                <w:szCs w:val="21"/>
              </w:rPr>
            </w:pPr>
            <w:r>
              <w:rPr>
                <w:rFonts w:hint="eastAsia" w:ascii="仿宋_GB2312" w:hAnsi="宋体" w:eastAsia="仿宋_GB2312"/>
                <w:szCs w:val="21"/>
              </w:rPr>
              <w:t>注2：特定元素的迁移项目原则上使用原样复检，但原样样品量不足时，可使用备样复检。</w:t>
            </w:r>
          </w:p>
          <w:p>
            <w:pPr>
              <w:pStyle w:val="6"/>
              <w:adjustRightInd w:val="0"/>
              <w:snapToGrid w:val="0"/>
              <w:jc w:val="left"/>
              <w:rPr>
                <w:rFonts w:ascii="仿宋_GB2312" w:hAnsi="仿宋" w:eastAsia="仿宋_GB2312" w:cs="宋体"/>
                <w:szCs w:val="21"/>
              </w:rPr>
            </w:pPr>
            <w:r>
              <w:rPr>
                <w:rFonts w:hint="eastAsia" w:ascii="仿宋_GB2312" w:hAnsi="宋体" w:eastAsia="仿宋_GB2312"/>
                <w:szCs w:val="21"/>
              </w:rPr>
              <w:t>注3：增塑剂项目优先选取软胶、皮革或涂层等2个材料进行测试，取样量不足0.1g时不进行测试。增塑剂项目原则上使用原样复检，但原样样品量不足时，可使用备样复检。</w:t>
            </w:r>
          </w:p>
          <w:p>
            <w:pPr>
              <w:pStyle w:val="6"/>
              <w:adjustRightInd w:val="0"/>
              <w:snapToGrid w:val="0"/>
              <w:jc w:val="left"/>
              <w:rPr>
                <w:rFonts w:ascii="仿宋_GB2312" w:hAnsi="仿宋" w:eastAsia="仿宋_GB2312" w:cs="宋体"/>
                <w:sz w:val="24"/>
              </w:rPr>
            </w:pPr>
            <w:r>
              <w:rPr>
                <w:rFonts w:hint="eastAsia" w:ascii="仿宋_GB2312" w:hAnsi="宋体" w:eastAsia="仿宋_GB2312"/>
                <w:szCs w:val="21"/>
              </w:rPr>
              <w:t>注4：对序号5-10检验项目，不适用的项目在报告中予以说明。</w:t>
            </w:r>
          </w:p>
        </w:tc>
      </w:tr>
    </w:tbl>
    <w:p>
      <w:pPr>
        <w:pStyle w:val="7"/>
        <w:spacing w:beforeLines="0" w:afterLines="0" w:line="640" w:lineRule="exact"/>
        <w:ind w:firstLineChars="71"/>
        <w:jc w:val="both"/>
        <w:rPr>
          <w:rFonts w:hAnsi="宋体"/>
          <w:b/>
          <w:bCs w:val="0"/>
          <w:kern w:val="2"/>
          <w:sz w:val="28"/>
          <w:szCs w:val="28"/>
        </w:rPr>
      </w:pPr>
      <w:r>
        <w:rPr>
          <w:rFonts w:hint="eastAsia" w:hAnsi="宋体"/>
          <w:b/>
          <w:bCs w:val="0"/>
          <w:kern w:val="2"/>
          <w:sz w:val="28"/>
          <w:szCs w:val="28"/>
        </w:rPr>
        <w:t>6.1.6其他类童车</w:t>
      </w:r>
    </w:p>
    <w:tbl>
      <w:tblPr>
        <w:tblStyle w:val="4"/>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42"/>
        <w:gridCol w:w="2417"/>
        <w:gridCol w:w="1409"/>
        <w:gridCol w:w="2084"/>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line="0" w:lineRule="atLeast"/>
              <w:ind w:firstLine="0" w:firstLineChars="0"/>
              <w:jc w:val="center"/>
              <w:rPr>
                <w:rFonts w:ascii="黑体" w:hAnsi="黑体" w:eastAsia="黑体"/>
                <w:sz w:val="24"/>
              </w:rPr>
            </w:pPr>
            <w:r>
              <w:rPr>
                <w:rFonts w:hint="eastAsia" w:ascii="黑体" w:hAnsi="黑体" w:eastAsia="黑体"/>
                <w:sz w:val="24"/>
              </w:rPr>
              <w:t>序号</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line="0" w:lineRule="atLeast"/>
              <w:ind w:firstLine="0" w:firstLineChars="0"/>
              <w:jc w:val="center"/>
              <w:rPr>
                <w:rFonts w:ascii="黑体" w:hAnsi="黑体" w:eastAsia="黑体"/>
                <w:sz w:val="24"/>
              </w:rPr>
            </w:pPr>
            <w:r>
              <w:rPr>
                <w:rFonts w:hint="eastAsia" w:ascii="黑体" w:hAnsi="黑体" w:eastAsia="黑体"/>
                <w:sz w:val="24"/>
              </w:rPr>
              <w:t>检验项目</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line="0" w:lineRule="atLeast"/>
              <w:ind w:firstLine="0" w:firstLineChars="0"/>
              <w:jc w:val="center"/>
              <w:rPr>
                <w:rFonts w:ascii="黑体" w:hAnsi="黑体" w:eastAsia="黑体"/>
                <w:sz w:val="24"/>
              </w:rPr>
            </w:pPr>
            <w:r>
              <w:rPr>
                <w:rFonts w:hint="eastAsia" w:ascii="黑体" w:hAnsi="黑体" w:eastAsia="黑体"/>
                <w:sz w:val="24"/>
              </w:rPr>
              <w:t>检测依据</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line="0" w:lineRule="atLeast"/>
              <w:ind w:firstLine="0" w:firstLineChars="0"/>
              <w:jc w:val="center"/>
              <w:rPr>
                <w:rFonts w:ascii="黑体" w:hAnsi="黑体" w:eastAsia="黑体"/>
                <w:sz w:val="24"/>
              </w:rPr>
            </w:pPr>
            <w:r>
              <w:rPr>
                <w:rFonts w:hint="eastAsia" w:ascii="黑体" w:hAnsi="黑体" w:eastAsia="黑体"/>
                <w:sz w:val="24"/>
              </w:rPr>
              <w:t>项目性质</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line="0" w:lineRule="atLeast"/>
              <w:ind w:firstLine="0" w:firstLineChars="0"/>
              <w:jc w:val="center"/>
              <w:rPr>
                <w:rFonts w:ascii="黑体" w:hAnsi="黑体" w:eastAsia="黑体"/>
                <w:sz w:val="24"/>
              </w:rPr>
            </w:pPr>
            <w:r>
              <w:rPr>
                <w:rFonts w:hint="eastAsia" w:ascii="黑体" w:hAnsi="黑体" w:eastAsia="黑体"/>
                <w:sz w:val="24"/>
              </w:rPr>
              <w:t>检测方法</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pStyle w:val="7"/>
              <w:spacing w:before="78" w:after="109" w:line="0" w:lineRule="atLeast"/>
              <w:ind w:firstLine="0" w:firstLineChars="0"/>
              <w:jc w:val="center"/>
              <w:rPr>
                <w:rFonts w:ascii="黑体" w:hAnsi="黑体" w:eastAsia="黑体"/>
                <w:sz w:val="24"/>
              </w:rPr>
            </w:pPr>
            <w:r>
              <w:rPr>
                <w:rFonts w:hint="eastAsia" w:ascii="黑体" w:hAnsi="黑体" w:eastAsia="黑体"/>
                <w:sz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1</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机械与物理性能</w:t>
            </w:r>
            <w:r>
              <w:rPr>
                <w:rFonts w:hint="eastAsia" w:ascii="仿宋_GB2312" w:hAnsi="仿宋" w:eastAsia="仿宋_GB2312" w:cs="宋体"/>
                <w:sz w:val="24"/>
                <w:vertAlign w:val="superscript"/>
              </w:rPr>
              <w:t>1</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6675.1-2014 5.1、</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6675.2-2014</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6675.2-2014</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2</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易燃性能</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6675.1-2014 5.2</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6675.3-2014</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6675.3-2014</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3</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特定元素迁移</w:t>
            </w:r>
            <w:r>
              <w:rPr>
                <w:rFonts w:hint="eastAsia" w:ascii="仿宋_GB2312" w:hAnsi="仿宋" w:eastAsia="仿宋_GB2312" w:cs="宋体"/>
                <w:sz w:val="24"/>
                <w:vertAlign w:val="superscript"/>
              </w:rPr>
              <w:t>2</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6675.1-2014 5.3.3、</w:t>
            </w:r>
          </w:p>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6675.4-2014</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6675.4-2014</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4</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增塑剂</w:t>
            </w:r>
            <w:r>
              <w:rPr>
                <w:rFonts w:hint="eastAsia" w:ascii="仿宋_GB2312" w:hAnsi="仿宋" w:eastAsia="仿宋_GB2312" w:cs="宋体"/>
                <w:sz w:val="24"/>
                <w:vertAlign w:val="superscript"/>
              </w:rPr>
              <w:t>3</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6675.1-2014 5.3.7</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GB/T 22048-2015</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5</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玩具标识（年龄范围、玩具警告标识）</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GB 6675.1-2014 5.7</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强制性</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 xml:space="preserve">GB/T 28022-2011 GB 6675.1-2014 5.7 </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center"/>
              <w:rPr>
                <w:rFonts w:ascii="仿宋_GB2312" w:hAnsi="仿宋" w:eastAsia="仿宋_GB2312" w:cs="宋体"/>
                <w:sz w:val="24"/>
              </w:rPr>
            </w:pPr>
            <w:r>
              <w:rPr>
                <w:rFonts w:hint="eastAsia" w:ascii="仿宋_GB2312" w:hAnsi="仿宋" w:eastAsia="仿宋_GB2312" w:cs="宋体"/>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07" w:type="dxa"/>
            <w:gridSpan w:val="6"/>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0" w:lineRule="atLeast"/>
              <w:jc w:val="left"/>
              <w:rPr>
                <w:rFonts w:ascii="仿宋_GB2312" w:hAnsi="宋体" w:eastAsia="仿宋_GB2312"/>
                <w:szCs w:val="21"/>
              </w:rPr>
            </w:pPr>
            <w:r>
              <w:rPr>
                <w:rFonts w:hint="eastAsia" w:ascii="仿宋_GB2312" w:hAnsi="宋体" w:eastAsia="仿宋_GB2312"/>
                <w:szCs w:val="21"/>
              </w:rPr>
              <w:t>注1：扭扭车、健身摇摆车等儿童可用脚起稳定作用的童车，其“前后稳定性”项目不做测试。</w:t>
            </w:r>
            <w:r>
              <w:rPr>
                <w:rFonts w:ascii="仿宋_GB2312" w:hAnsi="宋体" w:eastAsia="仿宋_GB2312"/>
                <w:szCs w:val="21"/>
              </w:rPr>
              <w:t>机械与物理性能</w:t>
            </w:r>
            <w:r>
              <w:rPr>
                <w:rFonts w:hint="eastAsia" w:ascii="仿宋_GB2312" w:hAnsi="宋体" w:eastAsia="仿宋_GB2312"/>
                <w:szCs w:val="21"/>
              </w:rPr>
              <w:t>正常使用不合格项目原则上使用原样进行复检，但因可预见的合理滥用测试导致样品被破坏而使原样不能用于复检时，可用备样复检；可预见的合理滥用测试不合格，应使用备样进行复检。机械与物理性能应对所有适用项目进行测试，不适用的项目应在报告中予以说明。</w:t>
            </w:r>
          </w:p>
          <w:p>
            <w:pPr>
              <w:jc w:val="left"/>
              <w:rPr>
                <w:rFonts w:ascii="仿宋_GB2312" w:hAnsi="宋体" w:eastAsia="仿宋_GB2312"/>
                <w:szCs w:val="21"/>
              </w:rPr>
            </w:pPr>
            <w:r>
              <w:rPr>
                <w:rFonts w:hint="eastAsia" w:ascii="仿宋_GB2312" w:hAnsi="宋体" w:eastAsia="仿宋_GB2312"/>
                <w:szCs w:val="21"/>
              </w:rPr>
              <w:t>注2：特定元素的迁移项目原则上使用原样复检，但原样样品量不足时，可使用备样复检。</w:t>
            </w:r>
          </w:p>
          <w:p>
            <w:pPr>
              <w:pStyle w:val="6"/>
              <w:adjustRightInd w:val="0"/>
              <w:snapToGrid w:val="0"/>
              <w:spacing w:line="0" w:lineRule="atLeast"/>
              <w:jc w:val="left"/>
              <w:rPr>
                <w:rFonts w:ascii="仿宋_GB2312" w:hAnsi="仿宋" w:eastAsia="仿宋_GB2312" w:cs="宋体"/>
                <w:sz w:val="24"/>
              </w:rPr>
            </w:pPr>
            <w:r>
              <w:rPr>
                <w:rFonts w:hint="eastAsia" w:ascii="仿宋_GB2312" w:hAnsi="宋体" w:eastAsia="仿宋_GB2312"/>
                <w:szCs w:val="21"/>
              </w:rPr>
              <w:t>注3：增塑剂项目优先选取软胶、皮革或涂层等2个材料进行测试，取样量不足0.1g时不进行测试。增塑剂项目原则上使用原样复检，但原样样品量不足时，可使用备样复检。</w:t>
            </w:r>
          </w:p>
        </w:tc>
      </w:tr>
    </w:tbl>
    <w:p>
      <w:pPr>
        <w:snapToGrid w:val="0"/>
        <w:spacing w:line="540" w:lineRule="exact"/>
        <w:rPr>
          <w:rFonts w:ascii="仿宋_GB2312" w:hAnsi="宋体" w:eastAsia="仿宋_GB2312"/>
          <w:b/>
          <w:sz w:val="28"/>
          <w:szCs w:val="28"/>
        </w:rPr>
      </w:pPr>
      <w:r>
        <w:rPr>
          <w:rFonts w:hint="eastAsia" w:ascii="仿宋_GB2312" w:hAnsi="Calibri" w:eastAsia="仿宋_GB2312" w:cs="Sim Sun"/>
          <w:b/>
          <w:kern w:val="0"/>
          <w:sz w:val="28"/>
          <w:szCs w:val="28"/>
        </w:rPr>
        <w:t>6.</w:t>
      </w:r>
      <w:r>
        <w:rPr>
          <w:rFonts w:ascii="仿宋_GB2312" w:hAnsi="Calibri" w:eastAsia="仿宋_GB2312" w:cs="Sim Sun"/>
          <w:b/>
          <w:kern w:val="0"/>
          <w:sz w:val="28"/>
          <w:szCs w:val="28"/>
        </w:rPr>
        <w:t>2</w:t>
      </w:r>
      <w:r>
        <w:rPr>
          <w:rFonts w:hint="eastAsia" w:ascii="仿宋_GB2312" w:hAnsi="Calibri" w:eastAsia="仿宋_GB2312" w:cs="Sim Sun"/>
          <w:b/>
          <w:kern w:val="0"/>
          <w:sz w:val="28"/>
          <w:szCs w:val="28"/>
        </w:rPr>
        <w:t xml:space="preserve"> 检验应注意的问题</w:t>
      </w:r>
    </w:p>
    <w:p>
      <w:pPr>
        <w:snapToGrid w:val="0"/>
        <w:spacing w:line="540" w:lineRule="exact"/>
        <w:rPr>
          <w:rFonts w:ascii="仿宋_GB2312" w:hAnsi="宋体" w:eastAsia="仿宋_GB2312"/>
          <w:iCs/>
          <w:sz w:val="28"/>
          <w:szCs w:val="28"/>
        </w:rPr>
      </w:pPr>
      <w:r>
        <w:rPr>
          <w:rFonts w:hint="eastAsia" w:ascii="仿宋_GB2312" w:hAnsi="Calibri" w:eastAsia="仿宋_GB2312" w:cs="Sim Sun"/>
          <w:b/>
          <w:kern w:val="0"/>
          <w:sz w:val="28"/>
          <w:szCs w:val="28"/>
        </w:rPr>
        <w:t>6.</w:t>
      </w:r>
      <w:r>
        <w:rPr>
          <w:rFonts w:ascii="仿宋_GB2312" w:hAnsi="Calibri" w:eastAsia="仿宋_GB2312" w:cs="Sim Sun"/>
          <w:b/>
          <w:kern w:val="0"/>
          <w:sz w:val="28"/>
          <w:szCs w:val="28"/>
        </w:rPr>
        <w:t>2</w:t>
      </w:r>
      <w:r>
        <w:rPr>
          <w:rFonts w:hint="eastAsia" w:ascii="仿宋_GB2312" w:hAnsi="Calibri" w:eastAsia="仿宋_GB2312" w:cs="Sim Sun"/>
          <w:b/>
          <w:kern w:val="0"/>
          <w:sz w:val="28"/>
          <w:szCs w:val="28"/>
        </w:rPr>
        <w:t>.1</w:t>
      </w:r>
      <w:r>
        <w:rPr>
          <w:rFonts w:hint="eastAsia" w:ascii="仿宋_GB2312" w:hAnsi="Calibri" w:eastAsia="仿宋_GB2312" w:cs="Sim Sun"/>
          <w:kern w:val="0"/>
          <w:sz w:val="28"/>
          <w:szCs w:val="28"/>
        </w:rPr>
        <w:t xml:space="preserve"> 检验机构接收样品应当有专人负责检查、记录样品的外观、状态、封条有无破损及其他可能对检测结果或者综合判定产生影响的情况，并确认样品与抽样单的记录是否相符，对检测和备用样品分别加贴相应标识后入库。</w:t>
      </w:r>
      <w:r>
        <w:rPr>
          <w:rFonts w:hint="eastAsia" w:ascii="仿宋_GB2312" w:hAnsi="宋体" w:eastAsia="仿宋_GB2312"/>
          <w:sz w:val="28"/>
          <w:szCs w:val="28"/>
        </w:rPr>
        <w:t>备用</w:t>
      </w:r>
      <w:r>
        <w:rPr>
          <w:rFonts w:hint="eastAsia" w:ascii="仿宋_GB2312" w:hAnsi="宋体" w:eastAsia="仿宋_GB2312"/>
          <w:iCs/>
          <w:sz w:val="28"/>
          <w:szCs w:val="28"/>
        </w:rPr>
        <w:t>样品应该贮存在阴凉、干燥、安全、避光处，在整个保存期间应保证签封完整无损。</w:t>
      </w:r>
    </w:p>
    <w:p>
      <w:pPr>
        <w:snapToGrid w:val="0"/>
        <w:spacing w:line="540" w:lineRule="exact"/>
        <w:rPr>
          <w:rFonts w:ascii="仿宋_GB2312" w:eastAsia="仿宋_GB2312" w:cs="Sim Sun"/>
          <w:kern w:val="0"/>
          <w:sz w:val="28"/>
          <w:szCs w:val="28"/>
        </w:rPr>
      </w:pPr>
      <w:r>
        <w:rPr>
          <w:rFonts w:hint="eastAsia" w:ascii="仿宋_GB2312" w:eastAsia="仿宋_GB2312" w:cs="Sim Sun"/>
          <w:b/>
          <w:kern w:val="0"/>
          <w:sz w:val="28"/>
          <w:szCs w:val="28"/>
        </w:rPr>
        <w:t xml:space="preserve">6.2.2 </w:t>
      </w:r>
      <w:r>
        <w:rPr>
          <w:rFonts w:hint="eastAsia" w:ascii="仿宋_GB2312" w:eastAsia="仿宋_GB2312" w:cs="Sim Sun"/>
          <w:kern w:val="0"/>
          <w:sz w:val="28"/>
          <w:szCs w:val="28"/>
        </w:rPr>
        <w:t>若被检产品明示的质量要求高于或包含本规范中检验项目依据的标准要求时，应按被检产品明示的质量要求判定。</w:t>
      </w:r>
    </w:p>
    <w:p>
      <w:pPr>
        <w:snapToGrid w:val="0"/>
        <w:spacing w:line="540" w:lineRule="exact"/>
        <w:rPr>
          <w:rFonts w:ascii="仿宋_GB2312" w:eastAsia="仿宋_GB2312" w:cs="Sim Sun"/>
          <w:kern w:val="0"/>
          <w:sz w:val="28"/>
          <w:szCs w:val="28"/>
        </w:rPr>
      </w:pPr>
      <w:r>
        <w:rPr>
          <w:rFonts w:hint="eastAsia" w:ascii="仿宋_GB2312" w:eastAsia="仿宋_GB2312" w:cs="Sim Sun"/>
          <w:b/>
          <w:kern w:val="0"/>
          <w:sz w:val="28"/>
          <w:szCs w:val="28"/>
        </w:rPr>
        <w:t xml:space="preserve">6.2.3 </w:t>
      </w:r>
      <w:r>
        <w:rPr>
          <w:rFonts w:hint="eastAsia" w:ascii="仿宋_GB2312" w:eastAsia="仿宋_GB2312" w:cs="Sim Sun"/>
          <w:kern w:val="0"/>
          <w:sz w:val="28"/>
          <w:szCs w:val="28"/>
        </w:rPr>
        <w:t>若被检产品明示的质量要求低于或缺少本规范中检验项目依据的强制性标准要求时，应按照强制性标准要求判定。</w:t>
      </w:r>
    </w:p>
    <w:p>
      <w:pPr>
        <w:snapToGrid w:val="0"/>
        <w:spacing w:line="540" w:lineRule="exact"/>
        <w:rPr>
          <w:rFonts w:ascii="仿宋_GB2312" w:hAnsi="Calibri" w:eastAsia="仿宋_GB2312" w:cs="Sim Sun"/>
          <w:b/>
          <w:kern w:val="0"/>
          <w:sz w:val="28"/>
          <w:szCs w:val="28"/>
        </w:rPr>
      </w:pPr>
      <w:r>
        <w:rPr>
          <w:rFonts w:hint="eastAsia" w:ascii="仿宋_GB2312" w:hAnsi="Calibri" w:eastAsia="仿宋_GB2312" w:cs="Sim Sun"/>
          <w:b/>
          <w:kern w:val="0"/>
          <w:sz w:val="28"/>
          <w:szCs w:val="28"/>
        </w:rPr>
        <w:t>7 判定原则</w:t>
      </w:r>
    </w:p>
    <w:p>
      <w:pPr>
        <w:snapToGrid w:val="0"/>
        <w:spacing w:line="540" w:lineRule="exact"/>
        <w:ind w:firstLine="560" w:firstLineChars="200"/>
        <w:rPr>
          <w:rFonts w:ascii="仿宋_GB2312" w:eastAsia="仿宋_GB2312" w:cs="Sim Sun"/>
          <w:kern w:val="0"/>
          <w:sz w:val="28"/>
          <w:szCs w:val="28"/>
        </w:rPr>
      </w:pPr>
      <w:r>
        <w:rPr>
          <w:rFonts w:hint="eastAsia" w:ascii="仿宋_GB2312" w:eastAsia="仿宋_GB2312" w:cs="Sim Sun"/>
          <w:kern w:val="0"/>
          <w:sz w:val="28"/>
          <w:szCs w:val="28"/>
        </w:rPr>
        <w:t>经检验，所检样品全部项目合格，判该产品本次监督抽查结果合格；出现一项或一项以上</w:t>
      </w:r>
      <w:r>
        <w:rPr>
          <w:rFonts w:hint="eastAsia" w:ascii="仿宋_GB2312" w:hAnsi="宋体" w:eastAsia="仿宋_GB2312"/>
          <w:sz w:val="28"/>
          <w:szCs w:val="28"/>
        </w:rPr>
        <w:t>项目</w:t>
      </w:r>
      <w:r>
        <w:rPr>
          <w:rFonts w:hint="eastAsia" w:ascii="仿宋_GB2312" w:eastAsia="仿宋_GB2312" w:cs="Sim Sun"/>
          <w:kern w:val="0"/>
          <w:sz w:val="28"/>
          <w:szCs w:val="28"/>
        </w:rPr>
        <w:t>不合格，判该产品本次监督检验结果不合格。</w:t>
      </w:r>
    </w:p>
    <w:p>
      <w:pPr>
        <w:snapToGrid w:val="0"/>
        <w:spacing w:line="540" w:lineRule="exact"/>
        <w:rPr>
          <w:rFonts w:ascii="仿宋_GB2312" w:hAnsi="Calibri" w:eastAsia="仿宋_GB2312" w:cs="Sim Sun"/>
          <w:b/>
          <w:kern w:val="0"/>
          <w:sz w:val="28"/>
          <w:szCs w:val="28"/>
        </w:rPr>
      </w:pPr>
      <w:r>
        <w:rPr>
          <w:rFonts w:hint="eastAsia" w:ascii="仿宋_GB2312" w:hAnsi="Calibri" w:eastAsia="仿宋_GB2312" w:cs="Sim Sun"/>
          <w:b/>
          <w:kern w:val="0"/>
          <w:sz w:val="28"/>
          <w:szCs w:val="28"/>
        </w:rPr>
        <w:t>8 异议处理复检</w:t>
      </w:r>
    </w:p>
    <w:p>
      <w:pPr>
        <w:snapToGrid w:val="0"/>
        <w:spacing w:line="540" w:lineRule="exact"/>
        <w:rPr>
          <w:rFonts w:ascii="仿宋_GB2312" w:eastAsia="仿宋_GB2312" w:cs="Sim Sun"/>
          <w:iCs/>
          <w:kern w:val="0"/>
          <w:sz w:val="28"/>
          <w:szCs w:val="28"/>
        </w:rPr>
      </w:pPr>
      <w:r>
        <w:rPr>
          <w:rFonts w:hint="eastAsia" w:ascii="仿宋_GB2312" w:eastAsia="仿宋_GB2312" w:cs="Sim Sun"/>
          <w:b/>
          <w:iCs/>
          <w:kern w:val="0"/>
          <w:sz w:val="28"/>
          <w:szCs w:val="28"/>
        </w:rPr>
        <w:t xml:space="preserve">8.1 </w:t>
      </w:r>
      <w:r>
        <w:rPr>
          <w:rFonts w:hint="eastAsia" w:ascii="仿宋_GB2312" w:eastAsia="仿宋_GB2312" w:cs="Sim Sun"/>
          <w:iCs/>
          <w:kern w:val="0"/>
          <w:sz w:val="28"/>
          <w:szCs w:val="28"/>
        </w:rPr>
        <w:t>被抽查企业在收到检验结果，对结果有异议时，可以自收到检验结果之日起15日内向深圳市市场监督管理局提出书面复检申请。逾期未提出异议的，视为承认检验结果。</w:t>
      </w:r>
    </w:p>
    <w:p>
      <w:pPr>
        <w:snapToGrid w:val="0"/>
        <w:spacing w:line="540" w:lineRule="exact"/>
        <w:rPr>
          <w:rFonts w:ascii="仿宋_GB2312" w:eastAsia="仿宋_GB2312" w:cs="Sim Sun"/>
          <w:iCs/>
          <w:kern w:val="0"/>
          <w:sz w:val="28"/>
          <w:szCs w:val="28"/>
        </w:rPr>
      </w:pPr>
      <w:r>
        <w:rPr>
          <w:rFonts w:hint="eastAsia" w:ascii="仿宋_GB2312" w:eastAsia="仿宋_GB2312" w:cs="Sim Sun"/>
          <w:b/>
          <w:iCs/>
          <w:kern w:val="0"/>
          <w:sz w:val="28"/>
          <w:szCs w:val="28"/>
        </w:rPr>
        <w:t xml:space="preserve">8.2 </w:t>
      </w:r>
      <w:r>
        <w:rPr>
          <w:rFonts w:hint="eastAsia" w:ascii="仿宋_GB2312" w:eastAsia="仿宋_GB2312" w:cs="Sim Sun"/>
          <w:iCs/>
          <w:kern w:val="0"/>
          <w:sz w:val="28"/>
          <w:szCs w:val="28"/>
        </w:rPr>
        <w:t>检验机构接到深圳市市场监督管理局的复检通知后应当按原监督抽查方案，核查不合格项目相关证据，能够以记录（纸质记录或电子记录或影像记录）、或与不合格项目相关联的其它质量数据等检验证据证明，并得到被检方认可的，做出维持原检验结果的结论。</w:t>
      </w:r>
    </w:p>
    <w:p>
      <w:pPr>
        <w:snapToGrid w:val="0"/>
        <w:spacing w:line="540" w:lineRule="exact"/>
        <w:rPr>
          <w:rFonts w:ascii="仿宋_GB2312" w:eastAsia="仿宋_GB2312" w:cs="Sim Sun"/>
          <w:kern w:val="0"/>
          <w:sz w:val="28"/>
          <w:szCs w:val="28"/>
        </w:rPr>
      </w:pPr>
      <w:r>
        <w:rPr>
          <w:rFonts w:hint="eastAsia" w:ascii="仿宋_GB2312" w:eastAsia="仿宋_GB2312" w:cs="Sim Sun"/>
          <w:b/>
          <w:kern w:val="0"/>
          <w:sz w:val="28"/>
          <w:szCs w:val="28"/>
        </w:rPr>
        <w:t xml:space="preserve">8.3 </w:t>
      </w:r>
      <w:r>
        <w:rPr>
          <w:rFonts w:hint="eastAsia" w:ascii="仿宋_GB2312" w:eastAsia="仿宋_GB2312" w:cs="Sim Sun"/>
          <w:iCs/>
          <w:kern w:val="0"/>
          <w:sz w:val="28"/>
          <w:szCs w:val="28"/>
        </w:rPr>
        <w:t>复检机构与初检机构不得为同一机构，但组织监督抽查的省级以上市场监督管理部门行政区域内或者组织监督抽查的市级、县级市场监督管理部门所在省辖区内仅有一个检验机构具备相应资质的除外。</w:t>
      </w:r>
    </w:p>
    <w:p>
      <w:pPr>
        <w:snapToGrid w:val="0"/>
        <w:spacing w:line="540" w:lineRule="exact"/>
        <w:rPr>
          <w:rFonts w:ascii="仿宋_GB2312" w:eastAsia="仿宋_GB2312" w:cs="Sim Sun"/>
          <w:b/>
          <w:kern w:val="0"/>
          <w:sz w:val="28"/>
          <w:szCs w:val="28"/>
        </w:rPr>
      </w:pPr>
      <w:r>
        <w:rPr>
          <w:rFonts w:hint="eastAsia" w:ascii="仿宋_GB2312" w:eastAsia="仿宋_GB2312" w:cs="Sim Sun"/>
          <w:b/>
          <w:kern w:val="0"/>
          <w:sz w:val="28"/>
          <w:szCs w:val="28"/>
        </w:rPr>
        <w:t xml:space="preserve">8.4 </w:t>
      </w:r>
      <w:r>
        <w:rPr>
          <w:rFonts w:hint="eastAsia" w:ascii="仿宋_GB2312" w:eastAsia="仿宋_GB2312" w:cs="Sim Sun"/>
          <w:bCs/>
          <w:kern w:val="0"/>
          <w:sz w:val="28"/>
          <w:szCs w:val="28"/>
        </w:rPr>
        <w:t>若复检机构与初检机构为同一家机构，则复</w:t>
      </w:r>
      <w:r>
        <w:rPr>
          <w:rFonts w:hint="eastAsia" w:ascii="仿宋_GB2312" w:eastAsia="仿宋_GB2312" w:cs="Sim Sun"/>
          <w:kern w:val="0"/>
          <w:sz w:val="28"/>
          <w:szCs w:val="28"/>
        </w:rPr>
        <w:t>检</w:t>
      </w:r>
      <w:r>
        <w:rPr>
          <w:rFonts w:hint="eastAsia" w:ascii="仿宋_GB2312" w:eastAsia="仿宋_GB2312" w:cs="Sim Sun"/>
          <w:bCs/>
          <w:kern w:val="0"/>
          <w:sz w:val="28"/>
          <w:szCs w:val="28"/>
        </w:rPr>
        <w:t>检验人员与初检检验人员不得为同一人（含审核人员）。</w:t>
      </w:r>
    </w:p>
    <w:p>
      <w:pPr>
        <w:snapToGrid w:val="0"/>
        <w:spacing w:line="540" w:lineRule="exact"/>
        <w:rPr>
          <w:rFonts w:ascii="仿宋_GB2312" w:eastAsia="仿宋_GB2312" w:cs="Sim Sun"/>
          <w:kern w:val="0"/>
          <w:sz w:val="28"/>
          <w:szCs w:val="28"/>
        </w:rPr>
      </w:pPr>
      <w:r>
        <w:rPr>
          <w:rFonts w:hint="eastAsia" w:ascii="仿宋_GB2312" w:eastAsia="仿宋_GB2312" w:cs="Sim Sun"/>
          <w:b/>
          <w:kern w:val="0"/>
          <w:sz w:val="28"/>
          <w:szCs w:val="28"/>
        </w:rPr>
        <w:t xml:space="preserve">8.5 </w:t>
      </w:r>
      <w:r>
        <w:rPr>
          <w:rFonts w:hint="eastAsia" w:ascii="仿宋_GB2312" w:eastAsia="仿宋_GB2312" w:cs="Sim Sun"/>
          <w:kern w:val="0"/>
          <w:sz w:val="28"/>
          <w:szCs w:val="28"/>
        </w:rPr>
        <w:t>需对不合格项目复检时，按6.1选择复检样品。</w:t>
      </w:r>
    </w:p>
    <w:p>
      <w:pPr>
        <w:snapToGrid w:val="0"/>
        <w:spacing w:line="540" w:lineRule="exact"/>
        <w:rPr>
          <w:rFonts w:ascii="仿宋_GB2312" w:eastAsia="仿宋_GB2312" w:cs="Sim Sun"/>
          <w:kern w:val="0"/>
          <w:sz w:val="28"/>
          <w:szCs w:val="28"/>
        </w:rPr>
      </w:pPr>
      <w:r>
        <w:rPr>
          <w:rFonts w:hint="eastAsia" w:ascii="仿宋_GB2312" w:eastAsia="仿宋_GB2312" w:cs="Sim Sun"/>
          <w:b/>
          <w:iCs/>
          <w:kern w:val="0"/>
          <w:sz w:val="28"/>
          <w:szCs w:val="28"/>
        </w:rPr>
        <w:t xml:space="preserve">8.6 </w:t>
      </w:r>
      <w:r>
        <w:rPr>
          <w:rFonts w:ascii="仿宋_GB2312" w:eastAsia="仿宋_GB2312" w:cs="Sim Sun"/>
          <w:kern w:val="0"/>
          <w:sz w:val="28"/>
          <w:szCs w:val="28"/>
        </w:rPr>
        <w:t>采用备样复</w:t>
      </w:r>
      <w:r>
        <w:rPr>
          <w:rFonts w:hint="eastAsia" w:ascii="仿宋_GB2312" w:eastAsia="仿宋_GB2312" w:cs="Sim Sun"/>
          <w:kern w:val="0"/>
          <w:sz w:val="28"/>
          <w:szCs w:val="28"/>
        </w:rPr>
        <w:t>检</w:t>
      </w:r>
      <w:r>
        <w:rPr>
          <w:rFonts w:ascii="仿宋_GB2312" w:eastAsia="仿宋_GB2312" w:cs="Sim Sun"/>
          <w:kern w:val="0"/>
          <w:sz w:val="28"/>
          <w:szCs w:val="28"/>
        </w:rPr>
        <w:t>时，</w:t>
      </w:r>
      <w:r>
        <w:rPr>
          <w:rFonts w:hint="eastAsia" w:ascii="仿宋_GB2312" w:eastAsia="仿宋_GB2312" w:cs="Sim Sun"/>
          <w:kern w:val="0"/>
          <w:sz w:val="28"/>
          <w:szCs w:val="28"/>
        </w:rPr>
        <w:t>若备样与原样的结构、零部件等不一致时，检验结果以原检验结果为准。</w:t>
      </w:r>
    </w:p>
    <w:p>
      <w:pPr>
        <w:snapToGrid w:val="0"/>
        <w:spacing w:line="540" w:lineRule="exact"/>
        <w:rPr>
          <w:rFonts w:ascii="仿宋_GB2312" w:eastAsia="仿宋_GB2312" w:cs="Sim Sun"/>
          <w:iCs/>
          <w:kern w:val="0"/>
          <w:sz w:val="28"/>
          <w:szCs w:val="28"/>
        </w:rPr>
      </w:pPr>
      <w:r>
        <w:rPr>
          <w:rFonts w:hint="eastAsia" w:ascii="仿宋_GB2312" w:eastAsia="仿宋_GB2312" w:cs="Sim Sun"/>
          <w:b/>
          <w:iCs/>
          <w:kern w:val="0"/>
          <w:sz w:val="28"/>
          <w:szCs w:val="28"/>
        </w:rPr>
        <w:t xml:space="preserve">8.7 </w:t>
      </w:r>
      <w:r>
        <w:rPr>
          <w:rFonts w:hint="eastAsia" w:ascii="仿宋_GB2312" w:eastAsia="仿宋_GB2312" w:cs="Sim Sun"/>
          <w:iCs/>
          <w:kern w:val="0"/>
          <w:sz w:val="28"/>
          <w:szCs w:val="28"/>
        </w:rPr>
        <w:t>深圳市市场监督管理局根据初检、复</w:t>
      </w:r>
      <w:r>
        <w:rPr>
          <w:rFonts w:hint="eastAsia" w:ascii="仿宋_GB2312" w:eastAsia="仿宋_GB2312" w:cs="Sim Sun"/>
          <w:kern w:val="0"/>
          <w:sz w:val="28"/>
          <w:szCs w:val="28"/>
        </w:rPr>
        <w:t>检</w:t>
      </w:r>
      <w:r>
        <w:rPr>
          <w:rFonts w:hint="eastAsia" w:ascii="仿宋_GB2312" w:eastAsia="仿宋_GB2312" w:cs="Sim Sun"/>
          <w:iCs/>
          <w:kern w:val="0"/>
          <w:sz w:val="28"/>
          <w:szCs w:val="28"/>
        </w:rPr>
        <w:t>结果及企业提交的证明材料，做出复检结论，复检结论为最终结论。</w:t>
      </w:r>
    </w:p>
    <w:p>
      <w:pPr>
        <w:snapToGrid w:val="0"/>
        <w:spacing w:line="540" w:lineRule="exact"/>
        <w:rPr>
          <w:rFonts w:ascii="仿宋_GB2312" w:hAnsi="宋体" w:eastAsia="仿宋_GB2312"/>
          <w:b/>
          <w:sz w:val="28"/>
          <w:szCs w:val="28"/>
        </w:rPr>
      </w:pPr>
      <w:r>
        <w:rPr>
          <w:rFonts w:ascii="仿宋_GB2312" w:hAnsi="宋体" w:eastAsia="仿宋_GB2312"/>
          <w:b/>
          <w:sz w:val="28"/>
          <w:szCs w:val="28"/>
        </w:rPr>
        <w:t>9</w:t>
      </w:r>
      <w:r>
        <w:rPr>
          <w:rFonts w:hint="eastAsia" w:ascii="仿宋_GB2312" w:hAnsi="宋体" w:eastAsia="仿宋_GB2312"/>
          <w:b/>
          <w:sz w:val="28"/>
          <w:szCs w:val="28"/>
        </w:rPr>
        <w:t xml:space="preserve"> 附则</w:t>
      </w:r>
    </w:p>
    <w:p>
      <w:pPr>
        <w:snapToGrid w:val="0"/>
        <w:spacing w:line="540" w:lineRule="exact"/>
        <w:ind w:firstLine="537" w:firstLineChars="192"/>
        <w:rPr>
          <w:rFonts w:ascii="仿宋_GB2312" w:hAnsi="宋体" w:eastAsia="仿宋_GB2312"/>
          <w:sz w:val="28"/>
          <w:szCs w:val="28"/>
        </w:rPr>
      </w:pPr>
      <w:r>
        <w:rPr>
          <w:rFonts w:hint="eastAsia" w:ascii="仿宋_GB2312" w:hAnsi="宋体" w:eastAsia="仿宋_GB2312"/>
          <w:sz w:val="28"/>
          <w:szCs w:val="28"/>
        </w:rPr>
        <w:t>本规范编制单位：</w:t>
      </w:r>
      <w:r>
        <w:rPr>
          <w:rFonts w:hint="eastAsia" w:ascii="仿宋_GB2312" w:eastAsia="仿宋_GB2312"/>
          <w:sz w:val="28"/>
          <w:szCs w:val="28"/>
        </w:rPr>
        <w:t>深圳市计量质量检测研究院</w:t>
      </w:r>
      <w:r>
        <w:rPr>
          <w:rFonts w:hint="eastAsia" w:ascii="仿宋_GB2312" w:hAnsi="宋体" w:eastAsia="仿宋_GB2312"/>
          <w:sz w:val="28"/>
          <w:szCs w:val="28"/>
        </w:rPr>
        <w:t>。</w:t>
      </w:r>
    </w:p>
    <w:p>
      <w:pPr>
        <w:ind w:firstLine="560" w:firstLineChars="200"/>
      </w:pPr>
      <w:bookmarkStart w:id="0" w:name="_GoBack"/>
      <w:bookmarkEnd w:id="0"/>
      <w:r>
        <w:rPr>
          <w:rFonts w:hint="eastAsia" w:ascii="仿宋_GB2312" w:hAnsi="宋体" w:eastAsia="仿宋_GB2312"/>
          <w:sz w:val="28"/>
          <w:szCs w:val="28"/>
        </w:rPr>
        <w:t>本规范由</w:t>
      </w:r>
      <w:r>
        <w:rPr>
          <w:rFonts w:hint="eastAsia" w:ascii="仿宋_GB2312" w:hAnsi="宋体" w:eastAsia="仿宋_GB2312"/>
          <w:iCs/>
          <w:sz w:val="28"/>
          <w:szCs w:val="28"/>
        </w:rPr>
        <w:t>深圳市市场监督管理局质量处</w:t>
      </w:r>
      <w:r>
        <w:rPr>
          <w:rFonts w:hint="eastAsia" w:ascii="仿宋_GB2312" w:hAnsi="宋体" w:eastAsia="仿宋_GB2312"/>
          <w:sz w:val="28"/>
          <w:szCs w:val="28"/>
        </w:rPr>
        <w:t>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E-FZ">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im Sun">
    <w:altName w:val="仿宋_GB2312"/>
    <w:panose1 w:val="00000000000000000000"/>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F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6">
    <w:name w:val="二级无标题条"/>
    <w:basedOn w:val="1"/>
    <w:qFormat/>
    <w:uiPriority w:val="0"/>
  </w:style>
  <w:style w:type="paragraph" w:customStyle="1" w:styleId="7">
    <w:name w:val="公文"/>
    <w:basedOn w:val="1"/>
    <w:qFormat/>
    <w:uiPriority w:val="0"/>
    <w:pPr>
      <w:widowControl/>
      <w:adjustRightInd w:val="0"/>
      <w:snapToGrid w:val="0"/>
      <w:spacing w:beforeLines="25" w:afterLines="35"/>
      <w:ind w:firstLine="200" w:firstLineChars="200"/>
      <w:jc w:val="left"/>
    </w:pPr>
    <w:rPr>
      <w:rFonts w:ascii="仿宋_GB2312" w:eastAsia="仿宋_GB2312"/>
      <w:bCs/>
      <w:kern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2020-05-06T02:42:55Z</dcterms:created>
  <dc:creator>changmy</dc:creator>
  <cp:lastModifiedBy>常孟园</cp:lastModifiedBy>
  <dcterms:modified xsi:type="dcterms:W3CDTF">2020-05-06T02:43:03Z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